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7C9F" w14:textId="77777777" w:rsidR="00946FC6" w:rsidRPr="00FE5A58" w:rsidRDefault="00946FC6" w:rsidP="000B618E">
      <w:pPr>
        <w:spacing w:line="276" w:lineRule="auto"/>
        <w:jc w:val="center"/>
        <w:rPr>
          <w:b/>
          <w:color w:val="000000"/>
          <w:lang w:val="ro-RO"/>
        </w:rPr>
      </w:pPr>
    </w:p>
    <w:p w14:paraId="1FDE21DD" w14:textId="1025B266" w:rsidR="00286B9A" w:rsidRPr="00657BF1" w:rsidRDefault="000F5E28" w:rsidP="00657BF1">
      <w:pPr>
        <w:spacing w:line="276" w:lineRule="auto"/>
        <w:jc w:val="center"/>
        <w:rPr>
          <w:b/>
          <w:color w:val="000000"/>
          <w:lang w:val="ro-RO"/>
        </w:rPr>
      </w:pPr>
      <w:r w:rsidRPr="00FE5A58">
        <w:rPr>
          <w:b/>
          <w:color w:val="000000"/>
          <w:lang w:val="ro-RO"/>
        </w:rPr>
        <w:t>EXPUNERE DE MOTIVE</w:t>
      </w:r>
    </w:p>
    <w:tbl>
      <w:tblPr>
        <w:tblpPr w:leftFromText="180" w:rightFromText="180" w:vertAnchor="page" w:horzAnchor="margin" w:tblpX="-176" w:tblpY="210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065"/>
        <w:gridCol w:w="1132"/>
        <w:gridCol w:w="1312"/>
        <w:gridCol w:w="1312"/>
        <w:gridCol w:w="1312"/>
        <w:gridCol w:w="1218"/>
      </w:tblGrid>
      <w:tr w:rsidR="006F1E4B" w:rsidRPr="00254ACD" w14:paraId="0FAA1959" w14:textId="77777777" w:rsidTr="002656DB">
        <w:tc>
          <w:tcPr>
            <w:tcW w:w="10031" w:type="dxa"/>
            <w:gridSpan w:val="7"/>
          </w:tcPr>
          <w:p w14:paraId="27C5CEEA" w14:textId="77777777" w:rsidR="00846558" w:rsidRPr="00FE5A58" w:rsidRDefault="00846558" w:rsidP="000B618E">
            <w:pPr>
              <w:spacing w:line="276" w:lineRule="auto"/>
              <w:rPr>
                <w:b/>
                <w:color w:val="000000"/>
                <w:lang w:val="ro-RO"/>
              </w:rPr>
            </w:pPr>
          </w:p>
          <w:p w14:paraId="6A9FA040" w14:textId="77777777" w:rsidR="00375B03" w:rsidRPr="00FE5A58" w:rsidRDefault="00375B03" w:rsidP="000B618E">
            <w:pPr>
              <w:spacing w:line="276" w:lineRule="auto"/>
              <w:jc w:val="center"/>
              <w:rPr>
                <w:b/>
                <w:color w:val="000000"/>
                <w:lang w:val="ro-RO"/>
              </w:rPr>
            </w:pPr>
            <w:proofErr w:type="spellStart"/>
            <w:r w:rsidRPr="00FE5A58">
              <w:rPr>
                <w:b/>
                <w:color w:val="000000"/>
                <w:lang w:val="ro-RO"/>
              </w:rPr>
              <w:t>Secţiunea</w:t>
            </w:r>
            <w:proofErr w:type="spellEnd"/>
            <w:r w:rsidRPr="00FE5A58">
              <w:rPr>
                <w:b/>
                <w:color w:val="000000"/>
                <w:lang w:val="ro-RO"/>
              </w:rPr>
              <w:t xml:space="preserve"> 1</w:t>
            </w:r>
          </w:p>
          <w:p w14:paraId="08D3AEC4" w14:textId="77777777" w:rsidR="00375B03" w:rsidRPr="00FE5A58" w:rsidRDefault="00375B03" w:rsidP="000B618E">
            <w:pPr>
              <w:spacing w:line="276" w:lineRule="auto"/>
              <w:jc w:val="center"/>
              <w:rPr>
                <w:b/>
                <w:color w:val="000000"/>
                <w:lang w:val="ro-RO"/>
              </w:rPr>
            </w:pPr>
            <w:r w:rsidRPr="00FE5A58">
              <w:rPr>
                <w:b/>
                <w:color w:val="000000"/>
                <w:lang w:val="ro-RO"/>
              </w:rPr>
              <w:t>Titlul proiectului de act normativ</w:t>
            </w:r>
          </w:p>
          <w:p w14:paraId="3E243FA3" w14:textId="49AB96C3" w:rsidR="00846558" w:rsidRPr="00FE5A58" w:rsidRDefault="00FE5A58" w:rsidP="00FE5A58">
            <w:pPr>
              <w:spacing w:line="276" w:lineRule="auto"/>
              <w:jc w:val="center"/>
              <w:rPr>
                <w:b/>
                <w:color w:val="000000"/>
                <w:lang w:val="ro-RO"/>
              </w:rPr>
            </w:pPr>
            <w:r w:rsidRPr="00FE5A58">
              <w:rPr>
                <w:b/>
                <w:color w:val="000000"/>
                <w:lang w:val="ro-RO"/>
              </w:rPr>
              <w:t>Lege privind salarizarea personalului plătit din fonduri publice</w:t>
            </w:r>
          </w:p>
        </w:tc>
      </w:tr>
      <w:tr w:rsidR="006F1E4B" w:rsidRPr="00254ACD" w14:paraId="076B20A9" w14:textId="77777777" w:rsidTr="002656DB">
        <w:trPr>
          <w:trHeight w:val="566"/>
        </w:trPr>
        <w:tc>
          <w:tcPr>
            <w:tcW w:w="10031" w:type="dxa"/>
            <w:gridSpan w:val="7"/>
          </w:tcPr>
          <w:p w14:paraId="0B9B299A" w14:textId="77777777" w:rsidR="00375B03" w:rsidRPr="00FE5A58" w:rsidRDefault="00375B03" w:rsidP="000B618E">
            <w:pPr>
              <w:spacing w:line="276" w:lineRule="auto"/>
              <w:jc w:val="center"/>
              <w:rPr>
                <w:b/>
                <w:color w:val="000000"/>
                <w:lang w:val="ro-RO"/>
              </w:rPr>
            </w:pPr>
            <w:proofErr w:type="spellStart"/>
            <w:r w:rsidRPr="00FE5A58">
              <w:rPr>
                <w:b/>
                <w:color w:val="000000"/>
                <w:lang w:val="ro-RO"/>
              </w:rPr>
              <w:t>Secţiunea</w:t>
            </w:r>
            <w:proofErr w:type="spellEnd"/>
            <w:r w:rsidRPr="00FE5A58">
              <w:rPr>
                <w:b/>
                <w:color w:val="000000"/>
                <w:lang w:val="ro-RO"/>
              </w:rPr>
              <w:t xml:space="preserve"> a 2-a</w:t>
            </w:r>
          </w:p>
          <w:p w14:paraId="5A97AA3F" w14:textId="77777777" w:rsidR="00846558" w:rsidRPr="00FE5A58" w:rsidRDefault="00375B03" w:rsidP="00222C7A">
            <w:pPr>
              <w:spacing w:line="276" w:lineRule="auto"/>
              <w:jc w:val="center"/>
              <w:rPr>
                <w:b/>
                <w:color w:val="000000"/>
                <w:lang w:val="ro-RO"/>
              </w:rPr>
            </w:pPr>
            <w:r w:rsidRPr="00FE5A58">
              <w:rPr>
                <w:b/>
                <w:color w:val="000000"/>
                <w:lang w:val="ro-RO"/>
              </w:rPr>
              <w:t>Motivul emiterii actului normativ</w:t>
            </w:r>
          </w:p>
        </w:tc>
      </w:tr>
      <w:tr w:rsidR="00112B51" w:rsidRPr="00254ACD" w14:paraId="737CDA4F" w14:textId="77777777" w:rsidTr="002656DB">
        <w:trPr>
          <w:trHeight w:val="566"/>
        </w:trPr>
        <w:tc>
          <w:tcPr>
            <w:tcW w:w="10031" w:type="dxa"/>
            <w:gridSpan w:val="7"/>
          </w:tcPr>
          <w:p w14:paraId="33D0AAD8" w14:textId="77777777" w:rsidR="00112B51" w:rsidRPr="00FE5A58" w:rsidRDefault="00112B51" w:rsidP="000B618E">
            <w:pPr>
              <w:spacing w:line="276" w:lineRule="auto"/>
              <w:jc w:val="both"/>
              <w:rPr>
                <w:b/>
                <w:color w:val="000000"/>
                <w:lang w:val="ro-RO"/>
              </w:rPr>
            </w:pPr>
            <w:r w:rsidRPr="00FE5A58">
              <w:rPr>
                <w:b/>
                <w:color w:val="000000"/>
                <w:lang w:val="ro-RO"/>
              </w:rPr>
              <w:t>2.1. Sursa proiectului de act normativ</w:t>
            </w:r>
          </w:p>
          <w:p w14:paraId="083850B5" w14:textId="2022837E" w:rsidR="00E819EF" w:rsidRPr="00FE5A58" w:rsidRDefault="0042139C" w:rsidP="00FE5A58">
            <w:pPr>
              <w:rPr>
                <w:b/>
                <w:color w:val="000000"/>
                <w:lang w:val="ro-RO"/>
              </w:rPr>
            </w:pPr>
            <w:r w:rsidRPr="00FE5A58">
              <w:rPr>
                <w:b/>
                <w:color w:val="000000"/>
                <w:lang w:val="ro-RO"/>
              </w:rPr>
              <w:t>Inițiativa Ministerului Muncii, Familiei, Tineretului și Solidarității Sociale.</w:t>
            </w:r>
          </w:p>
        </w:tc>
      </w:tr>
      <w:tr w:rsidR="00657DFC" w:rsidRPr="00254ACD" w14:paraId="09A9F510" w14:textId="77777777" w:rsidTr="009937A1">
        <w:trPr>
          <w:trHeight w:val="1340"/>
        </w:trPr>
        <w:tc>
          <w:tcPr>
            <w:tcW w:w="10031" w:type="dxa"/>
            <w:gridSpan w:val="7"/>
          </w:tcPr>
          <w:p w14:paraId="17D00F7F" w14:textId="77777777" w:rsidR="00CF35DB" w:rsidRPr="00E30476" w:rsidRDefault="00CF35DB" w:rsidP="00727FF8">
            <w:pPr>
              <w:pStyle w:val="Normal1"/>
              <w:numPr>
                <w:ilvl w:val="1"/>
                <w:numId w:val="13"/>
              </w:numPr>
              <w:pBdr>
                <w:top w:val="nil"/>
                <w:left w:val="nil"/>
                <w:bottom w:val="nil"/>
                <w:right w:val="nil"/>
                <w:between w:val="nil"/>
              </w:pBdr>
              <w:spacing w:line="276" w:lineRule="auto"/>
              <w:jc w:val="both"/>
              <w:rPr>
                <w:rFonts w:eastAsia="Calibri"/>
                <w:b/>
                <w:bCs/>
                <w:color w:val="000000"/>
              </w:rPr>
            </w:pPr>
            <w:bookmarkStart w:id="0" w:name="_Hlk29771805"/>
            <w:r w:rsidRPr="00E30476">
              <w:rPr>
                <w:rFonts w:eastAsia="Calibri"/>
                <w:b/>
                <w:bCs/>
                <w:color w:val="000000"/>
              </w:rPr>
              <w:t xml:space="preserve">Descrierea </w:t>
            </w:r>
            <w:proofErr w:type="spellStart"/>
            <w:r w:rsidRPr="00E30476">
              <w:rPr>
                <w:rFonts w:eastAsia="Calibri"/>
                <w:b/>
                <w:bCs/>
                <w:color w:val="000000"/>
              </w:rPr>
              <w:t>situaţiei</w:t>
            </w:r>
            <w:proofErr w:type="spellEnd"/>
            <w:r w:rsidRPr="00E30476">
              <w:rPr>
                <w:rFonts w:eastAsia="Calibri"/>
                <w:b/>
                <w:bCs/>
                <w:color w:val="000000"/>
              </w:rPr>
              <w:t xml:space="preserve"> actuale</w:t>
            </w:r>
          </w:p>
          <w:bookmarkEnd w:id="0"/>
          <w:p w14:paraId="0657AB54" w14:textId="47CA122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Sistemul de salarizare în sectorul public din România este stabilit și reglementat de Legea-cadru nr. 153/2017 privind salarizarea personalului plătit din fonduri publice, cu modificările și completările ulterioare.  Acest act normativ stabilește cadrul sistemului de salarizare din sectorul public și include dispoziții detaliate privind modul în care sistemul este aplicat diferitelor categorii de personal. Astfel, Legea-cadru nr. 153/2017 stabilește obiectul și domeniul de aplicare al legii, regulile generale de management și principiile care guvernează sistemul de salarizare din sectorul public, structura remunerației la care are dreptul personalul din sectorul public (salariu de bază, soldele de funcție, salariile de funcție, indemnizațiile de încadrare, indemnizațiile lunare,  sporuri, premii, prime și alte drepturi) și măsurile tranzitorii privind modul în care diferitele prevederi urmau să intre în vigoare. Anexele la Legea-cadru nr. 153/2017 cuprind prevederi detaliate pentru fiecare dintre categoriile în care personalul din sectorul public este împărțit în scopul aplicării sistemului de salarizare în sectorul public, inclusiv salariile de bază pentru toate funcțiile care alcătuiesc sectorul public.</w:t>
            </w:r>
          </w:p>
          <w:p w14:paraId="6C54604C"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Legea-cadru nr. 153/2017 împarte personalul din sectorul public în nouă categorii:</w:t>
            </w:r>
          </w:p>
          <w:p w14:paraId="7BFF38F2" w14:textId="77777777" w:rsidR="00FE5A58" w:rsidRPr="00FE5A58" w:rsidRDefault="00FE5A58" w:rsidP="00FE5A58">
            <w:pPr>
              <w:pStyle w:val="Default"/>
              <w:spacing w:after="59"/>
              <w:rPr>
                <w:lang w:val="ro-RO"/>
              </w:rPr>
            </w:pPr>
            <w:r w:rsidRPr="00FE5A58">
              <w:rPr>
                <w:lang w:val="ro-RO"/>
              </w:rPr>
              <w:t xml:space="preserve">a) șapte familii ocupaționale de funcții bugetare, grupate în următoarele domenii: </w:t>
            </w:r>
          </w:p>
          <w:p w14:paraId="09388724" w14:textId="77777777" w:rsidR="00FE5A58" w:rsidRPr="00FE5A58" w:rsidRDefault="00FE5A58" w:rsidP="00FE5A58">
            <w:pPr>
              <w:pStyle w:val="Default"/>
              <w:numPr>
                <w:ilvl w:val="0"/>
                <w:numId w:val="24"/>
              </w:numPr>
              <w:spacing w:after="59"/>
              <w:rPr>
                <w:lang w:val="ro-RO"/>
              </w:rPr>
            </w:pPr>
            <w:r w:rsidRPr="00FE5A58">
              <w:rPr>
                <w:lang w:val="ro-RO"/>
              </w:rPr>
              <w:t xml:space="preserve">       (i) învățământ (prevăzute în Anexa nr. I); </w:t>
            </w:r>
          </w:p>
          <w:p w14:paraId="58A520DB" w14:textId="77777777" w:rsidR="00FE5A58" w:rsidRPr="00FE5A58" w:rsidRDefault="00FE5A58" w:rsidP="00FE5A58">
            <w:pPr>
              <w:pStyle w:val="Default"/>
              <w:numPr>
                <w:ilvl w:val="0"/>
                <w:numId w:val="24"/>
              </w:numPr>
              <w:spacing w:after="59"/>
              <w:rPr>
                <w:lang w:val="ro-RO"/>
              </w:rPr>
            </w:pPr>
            <w:r w:rsidRPr="00FE5A58">
              <w:rPr>
                <w:lang w:val="ro-RO"/>
              </w:rPr>
              <w:t xml:space="preserve">       (ii) sănătate și asistență socială (prevăzute în Anexa nr. II); </w:t>
            </w:r>
          </w:p>
          <w:p w14:paraId="51EA54EA" w14:textId="77777777" w:rsidR="00FE5A58" w:rsidRPr="00FE5A58" w:rsidRDefault="00FE5A58" w:rsidP="00FE5A58">
            <w:pPr>
              <w:pStyle w:val="Default"/>
              <w:numPr>
                <w:ilvl w:val="0"/>
                <w:numId w:val="24"/>
              </w:numPr>
              <w:spacing w:after="59"/>
              <w:rPr>
                <w:lang w:val="ro-RO"/>
              </w:rPr>
            </w:pPr>
            <w:r w:rsidRPr="00FE5A58">
              <w:rPr>
                <w:lang w:val="ro-RO"/>
              </w:rPr>
              <w:t xml:space="preserve">       (iii) cultură (prevăzută în Anexa nr. III); </w:t>
            </w:r>
          </w:p>
          <w:p w14:paraId="25C8694E" w14:textId="77777777" w:rsidR="00FE5A58" w:rsidRPr="00FE5A58" w:rsidRDefault="00FE5A58" w:rsidP="00FE5A58">
            <w:pPr>
              <w:pStyle w:val="Default"/>
              <w:numPr>
                <w:ilvl w:val="0"/>
                <w:numId w:val="24"/>
              </w:numPr>
              <w:spacing w:after="59"/>
              <w:rPr>
                <w:lang w:val="ro-RO"/>
              </w:rPr>
            </w:pPr>
            <w:r w:rsidRPr="00FE5A58">
              <w:rPr>
                <w:lang w:val="ro-RO"/>
              </w:rPr>
              <w:t xml:space="preserve">       (iv) diplomație (prevăzută în Anexa nr. IV); </w:t>
            </w:r>
          </w:p>
          <w:p w14:paraId="147C9614" w14:textId="77777777" w:rsidR="00FE5A58" w:rsidRPr="00FE5A58" w:rsidRDefault="00FE5A58" w:rsidP="00FE5A58">
            <w:pPr>
              <w:pStyle w:val="Default"/>
              <w:numPr>
                <w:ilvl w:val="0"/>
                <w:numId w:val="24"/>
              </w:numPr>
              <w:spacing w:after="59"/>
              <w:rPr>
                <w:lang w:val="ro-RO"/>
              </w:rPr>
            </w:pPr>
            <w:r w:rsidRPr="00FE5A58">
              <w:rPr>
                <w:lang w:val="ro-RO"/>
              </w:rPr>
              <w:t xml:space="preserve">       (v) justiție și Curtea Constituțională (prevăzute în Anexa nr. V); </w:t>
            </w:r>
          </w:p>
          <w:p w14:paraId="0A962E59" w14:textId="77777777" w:rsidR="00FE5A58" w:rsidRPr="00FE5A58" w:rsidRDefault="00FE5A58" w:rsidP="00FE5A58">
            <w:pPr>
              <w:pStyle w:val="Default"/>
              <w:numPr>
                <w:ilvl w:val="0"/>
                <w:numId w:val="24"/>
              </w:numPr>
              <w:spacing w:after="59"/>
              <w:rPr>
                <w:lang w:val="ro-RO"/>
              </w:rPr>
            </w:pPr>
            <w:r w:rsidRPr="00FE5A58">
              <w:rPr>
                <w:lang w:val="ro-RO"/>
              </w:rPr>
              <w:t xml:space="preserve">       (vi) apărare, ordine publică și securitate națională (prevăzute în Anexa nr. VI); </w:t>
            </w:r>
          </w:p>
          <w:p w14:paraId="3E7CBED6" w14:textId="77777777" w:rsidR="00FE5A58" w:rsidRPr="00FE5A58" w:rsidRDefault="00FE5A58" w:rsidP="00FE5A58">
            <w:pPr>
              <w:pStyle w:val="Default"/>
              <w:numPr>
                <w:ilvl w:val="0"/>
                <w:numId w:val="24"/>
              </w:numPr>
              <w:spacing w:after="59"/>
              <w:rPr>
                <w:lang w:val="ro-RO"/>
              </w:rPr>
            </w:pPr>
            <w:r w:rsidRPr="00FE5A58">
              <w:rPr>
                <w:lang w:val="ro-RO"/>
              </w:rPr>
              <w:t xml:space="preserve">       (vii) administrație (prevăzută în Anexa nr. VIII); </w:t>
            </w:r>
          </w:p>
          <w:p w14:paraId="52B1DB8D" w14:textId="77777777" w:rsidR="00FE5A58" w:rsidRPr="00FE5A58" w:rsidRDefault="00FE5A58" w:rsidP="00FE5A58">
            <w:pPr>
              <w:pStyle w:val="Default"/>
              <w:numPr>
                <w:ilvl w:val="0"/>
                <w:numId w:val="24"/>
              </w:numPr>
              <w:spacing w:after="59"/>
              <w:rPr>
                <w:lang w:val="ro-RO"/>
              </w:rPr>
            </w:pPr>
            <w:r w:rsidRPr="00FE5A58">
              <w:rPr>
                <w:lang w:val="ro-RO"/>
              </w:rPr>
              <w:t xml:space="preserve">b) personalul din cadrul autorităților și instituțiilor publice finanțate integral din venituri proprii (cuprinse în Anexa nr. VII); </w:t>
            </w:r>
          </w:p>
          <w:p w14:paraId="0C4098D3" w14:textId="77777777" w:rsidR="00FE5A58" w:rsidRPr="00FE5A58" w:rsidRDefault="00FE5A58" w:rsidP="00FE5A58">
            <w:pPr>
              <w:pStyle w:val="Default"/>
              <w:numPr>
                <w:ilvl w:val="0"/>
                <w:numId w:val="24"/>
              </w:numPr>
              <w:rPr>
                <w:lang w:val="ro-RO"/>
              </w:rPr>
            </w:pPr>
            <w:r w:rsidRPr="00FE5A58">
              <w:rPr>
                <w:lang w:val="ro-RO"/>
              </w:rPr>
              <w:t xml:space="preserve">c) categoria funcționarilor aleși sau numiți (demnitari) (prevăzuți în Anexa nr. IX). </w:t>
            </w:r>
          </w:p>
          <w:p w14:paraId="2533A002" w14:textId="77777777" w:rsidR="00FE5A58" w:rsidRPr="00FE5A58" w:rsidRDefault="00FE5A58" w:rsidP="00FE5A58">
            <w:pPr>
              <w:tabs>
                <w:tab w:val="left" w:pos="1155"/>
              </w:tabs>
              <w:jc w:val="both"/>
              <w:rPr>
                <w:rFonts w:eastAsia="Calibri"/>
                <w:color w:val="000000"/>
                <w:lang w:val="ro-RO"/>
              </w:rPr>
            </w:pPr>
          </w:p>
          <w:p w14:paraId="488E3FE6"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Ca o excepție, Legea-cadru nr. 153/2017 nu se aplică personalului unui număr limitat de autorități/instituții: Banca Națională a României, Autoritatea de Supraveghere Financiară, Autoritatea Națională de Reglementare în Domeniul Energiei și Autoritatea Națională pentru Administrare și Reglementare în Comunicații.</w:t>
            </w:r>
          </w:p>
          <w:p w14:paraId="143625DC" w14:textId="27F92282"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Tipurile și nivelul salarizării personalului din sectorul public sunt limitate la cele prevăzute în mod expres în Legea-cadru nr. 153/2017. Este interzisă în mod expres negocierea, prin contracte/acorduri colective de muncă sau contracte individuale de muncă, a salariilor sau a oricăror alte remunerații, fie ele pecuniare sau în natură, care depășesc sau nu sunt în conformitate cu prevederile Legii-cadru nr. 153/2017. </w:t>
            </w:r>
          </w:p>
          <w:p w14:paraId="7C573173" w14:textId="77777777" w:rsidR="00FE5A58" w:rsidRPr="00FE5A58" w:rsidRDefault="00FE5A58" w:rsidP="00FE5A58">
            <w:pPr>
              <w:tabs>
                <w:tab w:val="left" w:pos="1155"/>
              </w:tabs>
              <w:jc w:val="both"/>
              <w:rPr>
                <w:rFonts w:eastAsia="Calibri"/>
                <w:color w:val="000000"/>
                <w:lang w:val="ro-RO"/>
              </w:rPr>
            </w:pPr>
          </w:p>
          <w:p w14:paraId="38110263"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Remunerația lunară a personalului din sectorul public include două componente principale:</w:t>
            </w:r>
          </w:p>
          <w:p w14:paraId="7F95624F" w14:textId="0A6C5D69"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a) </w:t>
            </w:r>
            <w:r w:rsidR="00445B4D">
              <w:rPr>
                <w:rFonts w:eastAsia="Calibri"/>
                <w:color w:val="000000"/>
                <w:lang w:val="ro-RO"/>
              </w:rPr>
              <w:t>s</w:t>
            </w:r>
            <w:r w:rsidRPr="00FE5A58">
              <w:rPr>
                <w:rFonts w:eastAsia="Calibri"/>
                <w:color w:val="000000"/>
                <w:lang w:val="ro-RO"/>
              </w:rPr>
              <w:t xml:space="preserve">alariul de bază, care este componenta fixă a remunerație,  reprezentând salariul la care are dreptul o persoană care deține o funcție în sectorul public. </w:t>
            </w:r>
          </w:p>
          <w:p w14:paraId="20E96271" w14:textId="3F49821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lastRenderedPageBreak/>
              <w:t xml:space="preserve">b) </w:t>
            </w:r>
            <w:r w:rsidR="00445B4D">
              <w:rPr>
                <w:rFonts w:eastAsia="Calibri"/>
                <w:color w:val="000000"/>
                <w:lang w:val="ro-RO"/>
              </w:rPr>
              <w:t>c</w:t>
            </w:r>
            <w:r w:rsidRPr="00FE5A58">
              <w:rPr>
                <w:rFonts w:eastAsia="Calibri"/>
                <w:color w:val="000000"/>
                <w:lang w:val="ro-RO"/>
              </w:rPr>
              <w:t>omponenta variabilă în care sunt incluse sporurile, majorările, indemnizațiile, premiile, primele și alte tipuri de remunerații. Această componentă include o gamă largă de tipuri de remunerații care sunt, de regulă, legate de îndeplinirea anumitor sarcini (de exemplu, sporul de performanță academică, sporuri pentru sarcini specializate îndeplinite de personalul din familia ocupațională „Apărare, ordine publică și securitate națională”), de circumstanțele/condițiile în care trebuie îndeplinite sarcinile (de exemplu, spor pentru condiții de muncă vătămătoare, spor pentru munca suplimentară, spor pentru activitatea desfășurată în localități izolate) sau de situația personală sau calificările angajaților (de exemplu, sporul acordat personalului cu handicap grav sau accentuat, indemnizația pentru deținerea titlului științific de doctor). Există, de asemenea, indemnizații acordate, în principiu, întregului personal din sectorul public, în mod egal și în aceeași sumă, indiferent de sarcinile și/sau condițiile/circumstanțele concrete în care se îndeplinesc funcțiile deținute (de exemplu, indemnizația de hrană).</w:t>
            </w:r>
          </w:p>
          <w:p w14:paraId="347258B3"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Salariile de bază sunt prevăzute în anexele la Legea-cadru nr. 153/2017 ca sume fixe, reprezentând nivelul ce urma a fi atins până în anul 2022, conform unui calendar pentru majorări eșalonate. Astfel, Legea-cadru nr. 153/2017 stabilește regulile prin care trebuiau stabilite salariul de bază și celelalte componente ale sistemului de salarizare, prin raportare la calendarul de mai jos (care se aplica, în principiu, majorității funcțiilor din sectorul public, cu excepția funcțiilor din cadrul administrației publice locale și funcțiilor de demnitate publică):</w:t>
            </w:r>
          </w:p>
          <w:p w14:paraId="21C1A817"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în perioada 1 iulie 2017 (când a intrat în vigoare Legea-cadru nr. 153/2017) și 31 decembrie 2017, nivelul salariului de bază și al celorlalte componente ale sistemului de salarizare a rămas egal cu nivelul înregistrat în luna iunie 2017;</w:t>
            </w:r>
          </w:p>
          <w:p w14:paraId="1D5A44C3"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începând cu 1 ianuarie 2018, salariul de bază și celelalte componente ale sistemului de salarizare s-au majorat cu 25% față de nivelul înregistrat în luna decembrie 2017;</w:t>
            </w:r>
          </w:p>
          <w:p w14:paraId="2B0CAE7B"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în perioada 2019-2022, se acorda o majorare anuală a salariului de bază, fiecare majorare reprezentând 1/4 din diferența dintre salariul de bază prevăzut de Legea-cadru nr. 153/2017 pentru anul 2022 și salariul de bază deținut în luna decembrie 2018.</w:t>
            </w:r>
          </w:p>
          <w:p w14:paraId="208E5CA8"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Totodată, precizăm că, potrivit art. 12 alin. (2) din Legea-cadru "începând cu anul 2023, salariile de bază, soldele de </w:t>
            </w:r>
            <w:proofErr w:type="spellStart"/>
            <w:r w:rsidRPr="00FE5A58">
              <w:rPr>
                <w:rFonts w:eastAsia="Calibri"/>
                <w:color w:val="000000"/>
                <w:lang w:val="ro-RO"/>
              </w:rPr>
              <w:t>funcţie</w:t>
            </w:r>
            <w:proofErr w:type="spellEnd"/>
            <w:r w:rsidRPr="00FE5A58">
              <w:rPr>
                <w:rFonts w:eastAsia="Calibri"/>
                <w:color w:val="000000"/>
                <w:lang w:val="ro-RO"/>
              </w:rPr>
              <w:t xml:space="preserve">/salariile de </w:t>
            </w:r>
            <w:proofErr w:type="spellStart"/>
            <w:r w:rsidRPr="00FE5A58">
              <w:rPr>
                <w:rFonts w:eastAsia="Calibri"/>
                <w:color w:val="000000"/>
                <w:lang w:val="ro-RO"/>
              </w:rPr>
              <w:t>funcţie</w:t>
            </w:r>
            <w:proofErr w:type="spellEnd"/>
            <w:r w:rsidRPr="00FE5A58">
              <w:rPr>
                <w:rFonts w:eastAsia="Calibri"/>
                <w:color w:val="000000"/>
                <w:lang w:val="ro-RO"/>
              </w:rPr>
              <w:t xml:space="preserve"> </w:t>
            </w:r>
            <w:proofErr w:type="spellStart"/>
            <w:r w:rsidRPr="00FE5A58">
              <w:rPr>
                <w:rFonts w:eastAsia="Calibri"/>
                <w:color w:val="000000"/>
                <w:lang w:val="ro-RO"/>
              </w:rPr>
              <w:t>şi</w:t>
            </w:r>
            <w:proofErr w:type="spellEnd"/>
            <w:r w:rsidRPr="00FE5A58">
              <w:rPr>
                <w:rFonts w:eastAsia="Calibri"/>
                <w:color w:val="000000"/>
                <w:lang w:val="ro-RO"/>
              </w:rPr>
              <w:t xml:space="preserve"> </w:t>
            </w:r>
            <w:proofErr w:type="spellStart"/>
            <w:r w:rsidRPr="00FE5A58">
              <w:rPr>
                <w:rFonts w:eastAsia="Calibri"/>
                <w:color w:val="000000"/>
                <w:lang w:val="ro-RO"/>
              </w:rPr>
              <w:t>indemnizaţiile</w:t>
            </w:r>
            <w:proofErr w:type="spellEnd"/>
            <w:r w:rsidRPr="00FE5A58">
              <w:rPr>
                <w:rFonts w:eastAsia="Calibri"/>
                <w:color w:val="000000"/>
                <w:lang w:val="ro-RO"/>
              </w:rPr>
              <w:t xml:space="preserve"> de încadrare se stabilesc prin </w:t>
            </w:r>
            <w:proofErr w:type="spellStart"/>
            <w:r w:rsidRPr="00FE5A58">
              <w:rPr>
                <w:rFonts w:eastAsia="Calibri"/>
                <w:color w:val="000000"/>
                <w:lang w:val="ro-RO"/>
              </w:rPr>
              <w:t>înmulţirea</w:t>
            </w:r>
            <w:proofErr w:type="spellEnd"/>
            <w:r w:rsidRPr="00FE5A58">
              <w:rPr>
                <w:rFonts w:eastAsia="Calibri"/>
                <w:color w:val="000000"/>
                <w:lang w:val="ro-RO"/>
              </w:rPr>
              <w:t xml:space="preserve"> </w:t>
            </w:r>
            <w:proofErr w:type="spellStart"/>
            <w:r w:rsidRPr="00FE5A58">
              <w:rPr>
                <w:rFonts w:eastAsia="Calibri"/>
                <w:color w:val="000000"/>
                <w:lang w:val="ro-RO"/>
              </w:rPr>
              <w:t>coeficienţilor</w:t>
            </w:r>
            <w:proofErr w:type="spellEnd"/>
            <w:r w:rsidRPr="00FE5A58">
              <w:rPr>
                <w:rFonts w:eastAsia="Calibri"/>
                <w:color w:val="000000"/>
                <w:lang w:val="ro-RO"/>
              </w:rPr>
              <w:t xml:space="preserve"> </w:t>
            </w:r>
            <w:proofErr w:type="spellStart"/>
            <w:r w:rsidRPr="00FE5A58">
              <w:rPr>
                <w:rFonts w:eastAsia="Calibri"/>
                <w:color w:val="000000"/>
                <w:lang w:val="ro-RO"/>
              </w:rPr>
              <w:t>prevăzuţi</w:t>
            </w:r>
            <w:proofErr w:type="spellEnd"/>
            <w:r w:rsidRPr="00FE5A58">
              <w:rPr>
                <w:rFonts w:eastAsia="Calibri"/>
                <w:color w:val="000000"/>
                <w:lang w:val="ro-RO"/>
              </w:rPr>
              <w:t xml:space="preserve"> în anexele nr. I - VIII cu salariul de bază minim brut pe </w:t>
            </w:r>
            <w:proofErr w:type="spellStart"/>
            <w:r w:rsidRPr="00FE5A58">
              <w:rPr>
                <w:rFonts w:eastAsia="Calibri"/>
                <w:color w:val="000000"/>
                <w:lang w:val="ro-RO"/>
              </w:rPr>
              <w:t>ţară</w:t>
            </w:r>
            <w:proofErr w:type="spellEnd"/>
            <w:r w:rsidRPr="00FE5A58">
              <w:rPr>
                <w:rFonts w:eastAsia="Calibri"/>
                <w:color w:val="000000"/>
                <w:lang w:val="ro-RO"/>
              </w:rPr>
              <w:t xml:space="preserve"> garantat în plată în vigoare." </w:t>
            </w:r>
          </w:p>
          <w:p w14:paraId="108566CF" w14:textId="021080CE"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Aplicarea coeficienților de salarizare pentru fiecare funcție din sectorul public, începând cu anul 2023</w:t>
            </w:r>
            <w:r w:rsidR="00445B4D">
              <w:rPr>
                <w:rFonts w:eastAsia="Calibri"/>
                <w:color w:val="000000"/>
                <w:lang w:val="ro-RO"/>
              </w:rPr>
              <w:t>,</w:t>
            </w:r>
            <w:r w:rsidRPr="00FE5A58">
              <w:rPr>
                <w:rFonts w:eastAsia="Calibri"/>
                <w:color w:val="000000"/>
                <w:lang w:val="ro-RO"/>
              </w:rPr>
              <w:t xml:space="preserve"> avea ca scop înlocuirea sumelor fixe prevăzute în anexele la Legea-cadru nr. 153/2017, asigurând astfel o legătură directă între salariile de bază din sectorul public și salariul minim pe economie; în consecință, orice creștere a salariului minim pe economie ar fi implicat, automat, creșteri proporționale ale salariilor de bază pentru funcțiile din sectorul public, fără a fi necesară adoptarea altor dispoziții legale.</w:t>
            </w:r>
          </w:p>
          <w:p w14:paraId="68C5DB81" w14:textId="598CF4B4"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Totuși, deși Legea-cadru prevedea, începând cu anul 2023, stabilirea salariilor de bază prin înmulțirea coeficienților prevăzuți pentru fiecare funcție cu nivelul salariului </w:t>
            </w:r>
            <w:r w:rsidR="00445B4D">
              <w:rPr>
                <w:rFonts w:eastAsia="Calibri"/>
                <w:color w:val="000000"/>
                <w:lang w:val="ro-RO"/>
              </w:rPr>
              <w:t xml:space="preserve">de bază </w:t>
            </w:r>
            <w:r w:rsidRPr="00FE5A58">
              <w:rPr>
                <w:rFonts w:eastAsia="Calibri"/>
                <w:color w:val="000000"/>
                <w:lang w:val="ro-RO"/>
              </w:rPr>
              <w:t>minim brut pe țară, din cauza constrângerilor financiare, această prevedere nu s-a aplicat și nu se aplică în prezent. Singura excepție au reprezentat-o funcțiile de demnitate publică, în cazul cărora,  indemnizațiile lunare au fost calculate în funcție de coeficienții stabiliți pentru funcțiile deținute și de salariul minim pe economie, începând cu data de 1 iulie 2017. Cu toate acestea, din cauza constrângerilor financiare, și nivelul acestor indemnizații a fost și a rămas limitat în ultimii ani.</w:t>
            </w:r>
          </w:p>
          <w:p w14:paraId="0982C892"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Coeficienții de salarizare pentru funcțiile din sectorul public variază de la 1 la 12, ceea ce reprezintă raportul dintre cel mai mic salariu de bază și cel mai mare – indemnizația Președintelui României.</w:t>
            </w:r>
          </w:p>
          <w:p w14:paraId="7955414F"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Totodată, există excepții de la regula conform căreia salariile de bază sunt prevăzute în Legea-cadru nr. 153/2017. Este vorba, în special, despre funcționarii publici și personalul contractual din familia ocupațională „Administrație” (prevăzută în Anexa nr. VIII la Legea-cadru nr. 153/2017), angajați în administrația publică locală (adică, în cadrul consiliilor județene, primăriilor și consiliilor locale, instituțiilor și serviciilor publice județene sau locale). Pentru această categorie de personal din sectorul public, Anexa nr. VIII la Legea-cadru nr. 153/2017 stabilește doar clasificarea și ierarhia funcțiilor, iar decizia privind cuantumul efectiv al salariilor de bază este transferată administrației publice locale. Legea nr. 153/2017 prevede îndrumări cu privire la pragul maxim permis pentru remunerarea acestei categorii de personal din sectorul public. Astfel, în funcție de nivelul administrației publice la care sunt angajați, venitul salarial al acestora nu poate depăși nivelul indemnizației lunare la care are dreptul viceprimarul sau, după caz, vicepreședintele consiliului județean. </w:t>
            </w:r>
          </w:p>
          <w:p w14:paraId="56B75D59"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lastRenderedPageBreak/>
              <w:t>Legea prevede, de asemenea, o creștere salarială pe orizontală, bazată pe vechime, pentru funcțiile de nivel de execuție, prin aplicarea diferitelor majorări în conformitate cu „nivelurile de vechime”. Salariile de bază pentru posturile de execuție enumerate în anexele I-VIII la Legea-cadru nr. 153/2017 se stabilesc la nivelul de intrare în vechime (gradația 0), ceea ce corespunde unei experiențe profesionale de până la trei ani, la care se aplică sporuri de vechime, în conformitate cu două clasificări diferite:</w:t>
            </w:r>
          </w:p>
          <w:p w14:paraId="5384FDAA"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 o clasificare generală cu cinci niveluri de vechime, care se aplică în cazul funcțiilor de execuție din sectorul public, cu excepția personalului militar, polițiștilor și funcționarilor publici cu statut special din sistemul administrației penitenciare: </w:t>
            </w:r>
            <w:proofErr w:type="spellStart"/>
            <w:r w:rsidRPr="00FE5A58">
              <w:rPr>
                <w:rFonts w:eastAsia="Calibri"/>
                <w:color w:val="000000"/>
                <w:lang w:val="ro-RO"/>
              </w:rPr>
              <w:t>gradaţia</w:t>
            </w:r>
            <w:proofErr w:type="spellEnd"/>
            <w:r w:rsidRPr="00FE5A58">
              <w:rPr>
                <w:rFonts w:eastAsia="Calibri"/>
                <w:color w:val="000000"/>
                <w:lang w:val="ro-RO"/>
              </w:rPr>
              <w:t xml:space="preserve"> 1 - de la 3 ani la 5 ani (majorare de 7,5%),  </w:t>
            </w:r>
            <w:proofErr w:type="spellStart"/>
            <w:r w:rsidRPr="00FE5A58">
              <w:rPr>
                <w:rFonts w:eastAsia="Calibri"/>
                <w:color w:val="000000"/>
                <w:lang w:val="ro-RO"/>
              </w:rPr>
              <w:t>gradaţia</w:t>
            </w:r>
            <w:proofErr w:type="spellEnd"/>
            <w:r w:rsidRPr="00FE5A58">
              <w:rPr>
                <w:rFonts w:eastAsia="Calibri"/>
                <w:color w:val="000000"/>
                <w:lang w:val="ro-RO"/>
              </w:rPr>
              <w:t xml:space="preserve"> 2 - de la 5 ani la 10 ani (majorare de 5%), </w:t>
            </w:r>
            <w:proofErr w:type="spellStart"/>
            <w:r w:rsidRPr="00FE5A58">
              <w:rPr>
                <w:rFonts w:eastAsia="Calibri"/>
                <w:color w:val="000000"/>
                <w:lang w:val="ro-RO"/>
              </w:rPr>
              <w:t>gradaţia</w:t>
            </w:r>
            <w:proofErr w:type="spellEnd"/>
            <w:r w:rsidRPr="00FE5A58">
              <w:rPr>
                <w:rFonts w:eastAsia="Calibri"/>
                <w:color w:val="000000"/>
                <w:lang w:val="ro-RO"/>
              </w:rPr>
              <w:t xml:space="preserve"> 3 - de la 10 ani la 15 ani (majorare de 5%),  </w:t>
            </w:r>
            <w:proofErr w:type="spellStart"/>
            <w:r w:rsidRPr="00FE5A58">
              <w:rPr>
                <w:rFonts w:eastAsia="Calibri"/>
                <w:color w:val="000000"/>
                <w:lang w:val="ro-RO"/>
              </w:rPr>
              <w:t>gradaţia</w:t>
            </w:r>
            <w:proofErr w:type="spellEnd"/>
            <w:r w:rsidRPr="00FE5A58">
              <w:rPr>
                <w:rFonts w:eastAsia="Calibri"/>
                <w:color w:val="000000"/>
                <w:lang w:val="ro-RO"/>
              </w:rPr>
              <w:t xml:space="preserve"> 4 - de la 15 ani la 20 de ani (majorare de 2,5%) și </w:t>
            </w:r>
            <w:proofErr w:type="spellStart"/>
            <w:r w:rsidRPr="00FE5A58">
              <w:rPr>
                <w:rFonts w:eastAsia="Calibri"/>
                <w:color w:val="000000"/>
                <w:lang w:val="ro-RO"/>
              </w:rPr>
              <w:t>gradaţia</w:t>
            </w:r>
            <w:proofErr w:type="spellEnd"/>
            <w:r w:rsidRPr="00FE5A58">
              <w:rPr>
                <w:rFonts w:eastAsia="Calibri"/>
                <w:color w:val="000000"/>
                <w:lang w:val="ro-RO"/>
              </w:rPr>
              <w:t xml:space="preserve"> 5 - peste 20 de ani (majorare de 2,5%).</w:t>
            </w:r>
          </w:p>
          <w:p w14:paraId="300456E6"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o clasificare specială cu șapte niveluri de vechime, care se aplică numai personalului militar și polițiștilor, precum și funcționarilor publici cu statut special din sistemul administrației penitenciare (care intră sub incidența Anexei nr. VI la Legea-cadru nr. 153/2017).</w:t>
            </w:r>
          </w:p>
          <w:p w14:paraId="31867DDD"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Funcțiile de conducere și funcțiile alese sau numite (demnitarii publici) nu beneficiază de majorări în funcție de vechime. Pentru aceste funcții, se consideră că salariile de bază prevăzute în anexele I-IX la Legea-cadru nr. 153/2017 includ deja majorările pe criterii de vechime.</w:t>
            </w:r>
          </w:p>
          <w:p w14:paraId="0F9745A1"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Legea-cadru nr. 153/2017 cuprinde prevederi care limitează cuantumul indemnizațiilor, compensațiilor, sporurilor, premiilor, primelor care pot fi acordate personalului din sectorul public. Astfel, potrivit art. 25 alin. (1) din Legea-cadru nr. 153/2017, valoarea totală a drepturilor enumerate mai sus, acordate la nivelul fiecărei instituții angajatoare nu poate depăși 30% din valoarea totală a salariilor de bază bugetate de ordonatorul de credite. În cazul instituțiilor din sistemul sanitar și de asistență socială și al celor din sistemele de apărare, ordine publică și securitate națională, valoarea totală a indemnizațiilor, compensațiilor, sporurilor, premiilor, primelor, acordate la nivelul fiecărui ordonator principal de credite nu poate depăși 30% din valoarea totală a salariilor de bază bugetate de ordonatorul principal de credite.</w:t>
            </w:r>
          </w:p>
          <w:p w14:paraId="3956E9C3"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De la adoptarea sa, Legea-cadru nr. 153/2017 a făcut obiectul unui număr considerabil de modificări, cu domenii de aplicare care au variat foarte mult, atât în ceea ce privește obiectul reglementării, cât și în ceea ce privește dimensiunea personalului din sectorul public vizat. Ca atare, există modificări care au un obiect foarte restrâns (cum ar fi cele prin care se modifică doar valoarea salariului de bază pentru o anumită funcție din sectorul public) și modificări care </w:t>
            </w:r>
            <w:proofErr w:type="spellStart"/>
            <w:r w:rsidRPr="00FE5A58">
              <w:rPr>
                <w:rFonts w:eastAsia="Calibri"/>
                <w:color w:val="000000"/>
                <w:lang w:val="ro-RO"/>
              </w:rPr>
              <w:t>impactează</w:t>
            </w:r>
            <w:proofErr w:type="spellEnd"/>
            <w:r w:rsidRPr="00FE5A58">
              <w:rPr>
                <w:rFonts w:eastAsia="Calibri"/>
                <w:color w:val="000000"/>
                <w:lang w:val="ro-RO"/>
              </w:rPr>
              <w:t xml:space="preserve"> întreg personalul din anumite familii ocupaționale.</w:t>
            </w:r>
          </w:p>
          <w:p w14:paraId="5652A120"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Modificările și completările Legii-cadru nr. 153/2017 au schimbat ierarhia posturilor, astfel cum prevedea textul inițial, structura remunerației, regulile privind remunerația variabilă, contribuind,  de asemenea, la crearea un sentiment de impredictibilitate, ca urmare a multitudinii de amendamente ad-hoc adoptate.</w:t>
            </w:r>
          </w:p>
          <w:p w14:paraId="3AFC26CF"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Chiar dacă actualul sistem de salarizare este foarte detaliat la nivelul legislației primare, complexitatea elementelor de remunerație variabilă și modificările ad-hoc îl fac destul de opac. Cadrul juridic actual este cuprinzător în ceea ce privește reglementarea tuturor elementelor sistemului de salarizare, dar, în egală măsură, este și complex și dificil de parcurs, având în vedere varietatea creșterilor salariilor de bază, a sporurilor salariale, precum și toate modificările juridice ad-hoc. Legea-cadru nr. 153/2017 reunește, în mare măsură, toate elementele sistemului de salarizare din sectorul public, ceea ce îi conferă un caracter cuprinzător, dar diversele moduri în care unele dintre aceste elemente sunt reglementate în cazul fiecărei familii ocupaționale fac dificilă obținerea unei imagini de ansamblu a sistemului.</w:t>
            </w:r>
          </w:p>
          <w:p w14:paraId="7669B966"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Principala dificultate în evaluarea structurii efective a sistemului de salarizare din sectorul public derivă din multiplele derogări de la prevederile-cheie ale Legii-cadru nr. 153/2017 și din excepțiile de la aceste derogări, care au fost adoptate prin acte legislative ulterioare.</w:t>
            </w:r>
          </w:p>
          <w:p w14:paraId="50FA74F7"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Implementarea Legii-cadru nr.153/2017 era menită să răspundă unor probleme de echitate și competitivitate în sistemul de salarizare din sectorul public din România. Legea-cadru nr. 153/2017 a fost adoptată cu intenția de a elimina discrepanțele salariale istorice acumulate în întregul sector public, pe care încercările anterioare de reformă din 2010 încoace nu le-au rezolvat. Legea salarizării adoptată în 2010 (Legea nr. 284/2010) a fost implementată doar parțial și a fost urmată de mai multe modificări legislative ad-hoc. Modelul centralizat (cu descentralizare limitată acordată administrației publice locale), reglementat în 2017, a fost construit pe pilonii sistemului de salarizare din 2010 cu obiectivul de a asigura perspective mai bune de operaționalizare. Prevederile detaliate ale Legii-cadru nr. </w:t>
            </w:r>
            <w:r w:rsidRPr="00FE5A58">
              <w:rPr>
                <w:rFonts w:eastAsia="Calibri"/>
                <w:color w:val="000000"/>
                <w:lang w:val="ro-RO"/>
              </w:rPr>
              <w:lastRenderedPageBreak/>
              <w:t>153/2017 corespundeau abordării normative generale predominante în contextul administrativ românesc, dar au reprezentat și o metodă de asigurare a unor reguli și garanții clare de aplicare.</w:t>
            </w:r>
          </w:p>
          <w:p w14:paraId="33660BC3"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În practică însă, implementarea etapizată a Legii-cadru a presupus, din 2018 și până în prezent, asigurarea unor creșteri salariale succesive, uneori țintind în mod diferențiat diferitele familii ocupaționale sau grupuri de funcții din interiorul acestora. În paralel, continuarea aplicării diferitelor sporuri (și a altor elemente din componenta variabilă a salariului) aflate în plată înainte de intrarea în vigoare a Legii-cadru, în ciuda abrogării actelor normative ce au stat la baza lor, a condus la perpetuarea unor inechități și la opacitate în salarizare.</w:t>
            </w:r>
          </w:p>
          <w:p w14:paraId="6CDDFE1F"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Astfel, în prezent, în sectorul bugetar există o serie de discrepanțe salariale, unele apărute în urma aplicării legislației anterioare privind salarizarea personalului bugetar, iar altele identificate după data apariției Legii-cadru nr.153/2017 privind salarizarea personalului plătit din fonduri publice, ca urmare a modificărilor legislative succesive ale Legii-cadru, prin care unele categorii de personal au fost favorizate în raport cu celelalte categorii de personal din sectorul bugetar.</w:t>
            </w:r>
          </w:p>
          <w:p w14:paraId="1B6AD3A4"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De asemenea, efectele numeroaselor hotărâri judecătorești definitive prin care au fost acordate diferite drepturi salariale au condus la accentuarea dezechilibrelor salariale în sistemul public, </w:t>
            </w:r>
            <w:proofErr w:type="spellStart"/>
            <w:r w:rsidRPr="00FE5A58">
              <w:rPr>
                <w:rFonts w:eastAsia="Calibri"/>
                <w:color w:val="000000"/>
                <w:lang w:val="ro-RO"/>
              </w:rPr>
              <w:t>ajungându-se</w:t>
            </w:r>
            <w:proofErr w:type="spellEnd"/>
            <w:r w:rsidRPr="00FE5A58">
              <w:rPr>
                <w:rFonts w:eastAsia="Calibri"/>
                <w:color w:val="000000"/>
                <w:lang w:val="ro-RO"/>
              </w:rPr>
              <w:t xml:space="preserve"> la situații în care persoane încadrate pe aceeași funcție, grad, gradație de vechime în muncă, în cadrul aceleiași instituții publice să beneficieze de remunerație diferită.</w:t>
            </w:r>
          </w:p>
          <w:p w14:paraId="6C45EF1A"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La nivelul administrației publice locale se identifică o serie de dezechilibre salariale între unitățile administrative-teritoriale de nivel similar, în condițiile în care nivelul de salarizare al personalului pentru fiecare în parte se stabilește prin hotărâre a consiliului local, a consiliului județean sau a Consiliului General al Municipiului București. Acest lucru a condus, pe de o parte, la existența unor niveluri diferite de salarizare pentru aceeași funcție în cadrul administrației publice locale, iar pe de altă parte, la răsturnarea ierarhiilor firești pe nivele de complexitate a activității în administrația publică. Aplicarea Legii-cadru a condus la situații în care unele salarii de bază din administrația publică locală sunt mai mari decât salariile din administrația publică centrală.</w:t>
            </w:r>
          </w:p>
          <w:p w14:paraId="51F29EF2"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Chiar și în ceea ce privește limitarea sumei sporurilor la 30% din suma salariilor de bază pe total buget pentru fiecare ordonator de credite, prevăzută de art.25 din Legea-cadru, există o excepție de la regulă, în sensul că pentru instituțiile din sistemul sanitar </w:t>
            </w:r>
            <w:proofErr w:type="spellStart"/>
            <w:r w:rsidRPr="00FE5A58">
              <w:rPr>
                <w:rFonts w:eastAsia="Calibri"/>
                <w:color w:val="000000"/>
                <w:lang w:val="ro-RO"/>
              </w:rPr>
              <w:t>şi</w:t>
            </w:r>
            <w:proofErr w:type="spellEnd"/>
            <w:r w:rsidRPr="00FE5A58">
              <w:rPr>
                <w:rFonts w:eastAsia="Calibri"/>
                <w:color w:val="000000"/>
                <w:lang w:val="ro-RO"/>
              </w:rPr>
              <w:t xml:space="preserve"> de asistență socială </w:t>
            </w:r>
            <w:proofErr w:type="spellStart"/>
            <w:r w:rsidRPr="00FE5A58">
              <w:rPr>
                <w:rFonts w:eastAsia="Calibri"/>
                <w:color w:val="000000"/>
                <w:lang w:val="ro-RO"/>
              </w:rPr>
              <w:t>şi</w:t>
            </w:r>
            <w:proofErr w:type="spellEnd"/>
            <w:r w:rsidRPr="00FE5A58">
              <w:rPr>
                <w:rFonts w:eastAsia="Calibri"/>
                <w:color w:val="000000"/>
                <w:lang w:val="ro-RO"/>
              </w:rPr>
              <w:t xml:space="preserve"> cele din sistemul de apărare, ordine publică </w:t>
            </w:r>
            <w:proofErr w:type="spellStart"/>
            <w:r w:rsidRPr="00FE5A58">
              <w:rPr>
                <w:rFonts w:eastAsia="Calibri"/>
                <w:color w:val="000000"/>
                <w:lang w:val="ro-RO"/>
              </w:rPr>
              <w:t>şi</w:t>
            </w:r>
            <w:proofErr w:type="spellEnd"/>
            <w:r w:rsidRPr="00FE5A58">
              <w:rPr>
                <w:rFonts w:eastAsia="Calibri"/>
                <w:color w:val="000000"/>
                <w:lang w:val="ro-RO"/>
              </w:rPr>
              <w:t xml:space="preserve"> securitate națională, limitarea sporurilor se face la 30% din suma salariilor de bază pe ordonator principal de credite.</w:t>
            </w:r>
          </w:p>
          <w:p w14:paraId="63C89655" w14:textId="77777777" w:rsidR="00FE5A58" w:rsidRDefault="00FE5A58" w:rsidP="00FE5A58">
            <w:pPr>
              <w:tabs>
                <w:tab w:val="left" w:pos="1155"/>
              </w:tabs>
              <w:jc w:val="both"/>
              <w:rPr>
                <w:rFonts w:eastAsia="Calibri"/>
                <w:color w:val="000000"/>
                <w:lang w:val="ro-RO"/>
              </w:rPr>
            </w:pPr>
            <w:r w:rsidRPr="00FE5A58">
              <w:rPr>
                <w:rFonts w:eastAsia="Calibri"/>
                <w:color w:val="000000"/>
                <w:lang w:val="ro-RO"/>
              </w:rPr>
              <w:t>Totodată, având în vedere că determinarea sporurilor se face în raport cu salariul de bază, se creează o situație discriminatorie, unele funcții beneficiind de un cuantum al sporurilor cu mult mai mare decât altele, cu toate că activitatea se desfășoară în aceleași condiții, iar expunerea la condiții periculoase sau vătămătoare este aceeași, indiferent de funcția deținută.</w:t>
            </w:r>
          </w:p>
          <w:p w14:paraId="213C34B7"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Din perspectiva echității, creșterile salariului de bază au fost cuplate cu modificări privind diferitele drepturi salariale incluse în componenta variabilă a salariului, cu riscul de a afecta ierarhia funcțiilor. Nu a existat o analiză cu privire la specificul acelor drepturi salariale permanente care țin de natura activității și nivelul de responsabilitate aferente acelor funcții – aspecte care ar fi trebuit să se reflecte în salariul de bază conform principiilor care au fundamentat ierarhia funcțiilor din sectorul bugetar.</w:t>
            </w:r>
          </w:p>
          <w:p w14:paraId="1DBF114C"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Ca impact bugetar, implementarea Legii-cadru nr. 153/2017 a condus </w:t>
            </w:r>
            <w:r w:rsidRPr="00590C4E">
              <w:rPr>
                <w:rFonts w:eastAsia="Calibri"/>
                <w:color w:val="000000"/>
                <w:lang w:val="ro-RO"/>
              </w:rPr>
              <w:t>la creșterea anvelopei salariale ca procent din PIB - ponderea cheltuielilor salariale în PIB a crescut de la 7,4% în anul  2016, la 8,78 în anul 2025. În termeni nominali, cheltuielile salariale din sectorul public s-au dublat, de la 57 de miliarde de lei în 2016 la 167,7 miliarde de lei în 2025.</w:t>
            </w:r>
            <w:r w:rsidRPr="00FE5A58">
              <w:rPr>
                <w:rFonts w:eastAsia="Calibri"/>
                <w:color w:val="000000"/>
                <w:lang w:val="ro-RO"/>
              </w:rPr>
              <w:t xml:space="preserve"> </w:t>
            </w:r>
          </w:p>
          <w:p w14:paraId="5CCA0C57" w14:textId="77777777" w:rsidR="00FE5A58" w:rsidRPr="00FE5A58" w:rsidRDefault="00FE5A58" w:rsidP="00FE5A58">
            <w:pPr>
              <w:tabs>
                <w:tab w:val="left" w:pos="1155"/>
              </w:tabs>
              <w:jc w:val="both"/>
              <w:rPr>
                <w:rFonts w:eastAsia="Calibri"/>
                <w:color w:val="000000"/>
                <w:lang w:val="ro-RO"/>
              </w:rPr>
            </w:pPr>
          </w:p>
          <w:p w14:paraId="2FFE7B7B" w14:textId="19EE0F34"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Având în vedere cele menționate mai sus, ca parte a PNRR pentru România, aprobat de Consiliul UE la 28 octombrie 2021, Ministerul Muncii, Familiei, Tineretului și Solidarității Sociale (MMFTSS) a convenit să realizeze o revizuire și actualizare a cadrului politicii de salarizare cu scopul de a asigura salarii echitabile și accesibile în sectorul public. Astfel, MMFTSS este coordonator de reforme PNRR pentru Reforma 4 - Dezvoltarea unui sistem de salarizare echitabil și unitar în sectorul public din cadrul Componentei 14 Bună guvernanță, care cuprinde Jalonul 420.</w:t>
            </w:r>
          </w:p>
          <w:p w14:paraId="50D3DC66"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Obiectivul general al acestei reforme constă în „asigurarea unei politici salariale echitabile și sustenabile prin eliminarea discrepanțelor salariale existente în prezent în sistemul bugetar, restabilirea ierarhiilor funcțiilor în cadrul domeniilor de activitate, precum și între domenii de activitate, revizuirea sistemului de acordare a sporurilor, precum și instituirea unui sistem de stimulare a performanței”.</w:t>
            </w:r>
          </w:p>
          <w:p w14:paraId="6ABB102A"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Reforma este realizată cu sprijinul oferit de Banca Mondială (BM) prin intermediul unor servicii de asistență tehnică rambursabile (RAS). Principalul obiectiv al RAS pentru Sprijinirea Reformei </w:t>
            </w:r>
            <w:r w:rsidRPr="00FE5A58">
              <w:rPr>
                <w:rFonts w:eastAsia="Calibri"/>
                <w:color w:val="000000"/>
                <w:lang w:val="ro-RO"/>
              </w:rPr>
              <w:lastRenderedPageBreak/>
              <w:t>Sistemului de Salarizare în Sectorul Public (RAS privind Sistemul de salarizare) este de a sprijini eforturile României de a face sistemul public de salarizare mai echitabil, transparent și sustenabil din punct de vedere financiar. Banca oferă asistență MMFTSS în (i) realizarea de evaluări pe diferite dimensiuni (revizuirea sistemului de ierarhizare a posturilor, analiza cadrului juridic și a datelor salariale și analiza experienței internaționale), (ii) elaborarea de recomandări specifice privind îmbunătățirea sistemului de salarizare (care acoperă ierarhia posturilor, structura remunerației, regulile aplicabile remunerării pe criterii de performanță) și (iii) sprijinirea procesului de comunicare privind reformele sistemului de salarizare, inclusiv sprijinirea dialogului social.</w:t>
            </w:r>
          </w:p>
          <w:p w14:paraId="256816AB"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Reforma sistemului public de salarizare a urmărit următoarele aspecte, așa cum erau menționate inițial în CID: </w:t>
            </w:r>
          </w:p>
          <w:p w14:paraId="253A57D1"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revizuirea coeficienților de clasificare pentru fiecare familie de funcții bugetare ocupaționale</w:t>
            </w:r>
          </w:p>
          <w:p w14:paraId="4A47C185"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 reintroducerea unor grile de salarizare pentru administrația publică locală, corespunzătoare funcțiilor publice și funcțiilor contractuale, așa cum era prevăzut în legislația anterioară Legii-cadru nr.153/2017; </w:t>
            </w:r>
          </w:p>
          <w:p w14:paraId="3DD7E7EE"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 revizuirea sistemului de acordare a sporurilor și plafonarea sumei sporurilor la 20% din salariul de bază, la nivelul ordonatorului principal de credite. Astfel, sporurile pentru condiții de muncă la care expunerea la condiții de muncă este aceeași, indiferent de funcția deținută, se vor acorda în cuantum fix, ca procent din salariul de bază minim brut pe țară garantat în plată. Se va realiza o analiză a tuturor categoriilor de sporuri, cu menținerea numai a celor cu adevărat relevante.  </w:t>
            </w:r>
          </w:p>
          <w:p w14:paraId="1EE95C6C"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acordarea unui spor de performanță lunar, personalului care a realizat sau a participat direct la obținerea unor rezultate deosebite în activitatea instituției.</w:t>
            </w:r>
          </w:p>
          <w:p w14:paraId="798B4F3B"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Pentru realizarea primei activități, respectiv, revizuirea coeficienților de clasificare pentru fiecare familie de funcții bugetare ocupaționale, a fost constituit un grup de evaluatori (experți din departamentele de resurse umane), asigurându-se reprezentativitate pentru toate familiile ocupaționale.  Evaluarea funcțiilor s-a bazat pe o metodologie care a avut în vedere o serie de criterii consacrate la nivel internațional, fiind evaluat un eșantion reprezentativ de 142 de funcții. În urma evaluării, care a avut loc în perioada iulie-noiembrie 2022, a rezultat o ierarhie provizorie a funcțiilor reprezentative din sectorul bugetar, încadrate într-o structură de 12 grade de salarizare.</w:t>
            </w:r>
          </w:p>
          <w:p w14:paraId="706B8CE2"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Echipa MMFTSS și a BM au analizat împreună propunerile salariale primite din partea sectoarelor în cursul anului 2023 și 2024. Propunerile sectoarelor au fost analizate în vederea: </w:t>
            </w:r>
          </w:p>
          <w:p w14:paraId="69089D14"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w:t>
            </w:r>
            <w:r w:rsidRPr="00FE5A58">
              <w:rPr>
                <w:rFonts w:eastAsia="Calibri"/>
                <w:color w:val="000000"/>
                <w:lang w:val="ro-RO"/>
              </w:rPr>
              <w:tab/>
              <w:t xml:space="preserve">Identificării funcțiilor din fiecare grup ocupațional pentru care sectoarele au propus modificări comparativ cu ierarhia funcțiilor reprezentative. Aceste modificări puteau fi justificate din perspectiva echității (funcții similare altora care erau poziționate mai avantajos) sau a competitivității (funcții de specializare înaltă sau funcții de conducere pentru care poziționarea nu este considerată atractivă). </w:t>
            </w:r>
          </w:p>
          <w:p w14:paraId="0A7F0686"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w:t>
            </w:r>
            <w:r w:rsidRPr="00FE5A58">
              <w:rPr>
                <w:rFonts w:eastAsia="Calibri"/>
                <w:color w:val="000000"/>
                <w:lang w:val="ro-RO"/>
              </w:rPr>
              <w:tab/>
              <w:t xml:space="preserve">Stabilirii logicii de progresie și a raportului de compresie pentru diferite sisteme de carieră, conform viziunii sectoarelor (pas de creștere în carieră). </w:t>
            </w:r>
          </w:p>
          <w:p w14:paraId="4629F8A1"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w:t>
            </w:r>
            <w:r w:rsidRPr="00FE5A58">
              <w:rPr>
                <w:rFonts w:eastAsia="Calibri"/>
                <w:color w:val="000000"/>
                <w:lang w:val="ro-RO"/>
              </w:rPr>
              <w:tab/>
              <w:t xml:space="preserve"> Analizei regulilor propuse pentru eventuale diferențieri între funcții de același tip, dar expuse unor variații în sarcini/complexitate/condiții de muncă. </w:t>
            </w:r>
          </w:p>
          <w:p w14:paraId="533409EF"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Echipa MMFTSS, cu sprijinul echipei BM a dezvoltat pe parcursul a numeroase sesiuni tehnice, o propunere de ierarhizare a tuturor funcțiilor din sectorul bugetar și încadrare a acestora în structura de grade de salarizare. Scopul final al acestui demers a fost asigurarea că noul sistem de salarizare va statua reguli privind modificarea ierarhiei funcțiilor numai ca urmare a unui proces sistematic de evaluare, definirea gradelor de salarizare și încadrarea fiecărei funcții în acestea. Aceste reguli sunt menite să limiteze amploarea modificărilor ulterioare intrării în vigoare și să mențină echitatea ierarhiei funcțiilor.</w:t>
            </w:r>
          </w:p>
          <w:p w14:paraId="0E6E00AD"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În cursul anilor 2023-2024 au avut loc o serie de întâlniri cu reprezentanții ministerelor corespunzătoare familiilor ocupaționale de funcții bugetare, precum și cu reprezentanți ai sindicatelor.</w:t>
            </w:r>
          </w:p>
          <w:p w14:paraId="2D1CA113"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S-au primit propuneri privind salarizarea personalului bugetar din partea ministerelor, </w:t>
            </w:r>
            <w:proofErr w:type="spellStart"/>
            <w:r w:rsidRPr="00FE5A58">
              <w:rPr>
                <w:rFonts w:eastAsia="Calibri"/>
                <w:color w:val="000000"/>
                <w:lang w:val="ro-RO"/>
              </w:rPr>
              <w:t>institutiilor</w:t>
            </w:r>
            <w:proofErr w:type="spellEnd"/>
            <w:r w:rsidRPr="00FE5A58">
              <w:rPr>
                <w:rFonts w:eastAsia="Calibri"/>
                <w:color w:val="000000"/>
                <w:lang w:val="ro-RO"/>
              </w:rPr>
              <w:t xml:space="preserve"> publice si sindicatelor reprezentative, care au fost avute în vedere în elaborarea proiectului legii.</w:t>
            </w:r>
          </w:p>
          <w:p w14:paraId="3E5C2088"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În baza propunerii de ierarhizare și a propunerilor primite conform celor menționate mai sus, echipa MMFTSS împreună cu specialiștii BM au elaborat inițial două variante de anexe la proiectul legii salarizării. </w:t>
            </w:r>
          </w:p>
          <w:p w14:paraId="6F58D7F2"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Acestea reflectau rezultatele evaluării funcțiilor reprezentative și regulile de ierarhizare rezultate în urma procesului de evaluare din 2022 și încorporau modificările legislative din anii 2023 și 2024, prin care au fost acordate o serie de majorări salariale anumitor categorii de personal, cum ar fi personalul din sectorul de învățământ, cel din sănătate și asistență socială și cel din apărare, ordine publică și </w:t>
            </w:r>
            <w:r w:rsidRPr="00FE5A58">
              <w:rPr>
                <w:rFonts w:eastAsia="Calibri"/>
                <w:color w:val="000000"/>
                <w:lang w:val="ro-RO"/>
              </w:rPr>
              <w:lastRenderedPageBreak/>
              <w:t>securitate națională. Cu această ocazie au fost calculate două variante de impact bugetar al noii legi, plecând de la o valoare de referință de 3000 de lei.</w:t>
            </w:r>
          </w:p>
          <w:p w14:paraId="3E615740"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Cu toate acestea, noul context economic generat de Planul bugetar -structural național pe termen mediu 2025-2031 care stabilește traiectoriile de cheltuieli și reformele și investițiile prioritare pentru următorii ani, a fost nevoie de o reajustare a întregului proiect de lege și a impactului financiar pe care această reformă îl generează. În plus, creșterea nivelului salariului de bază minim brut pe țară garantat în plată la 4050 de lei, cu perspective de a ajunge la 4325 lei începând cu data de 1 iulie 2026, a contribuit la necesitatea reanalizării proiectului de lege și luarea în considerare ca valoarea de referință cu care se înmulțesc coeficienții de salarizare din proiect să fie una adecvată.</w:t>
            </w:r>
          </w:p>
          <w:p w14:paraId="375D014D" w14:textId="52B05103"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Având în vedere condiția de sustenabilitate a noii reforme, MMFTSS a transmis Ministerului Finanțelor (MF) invitația la o colaborare interministerială între cele instituții în vederea elaborării noului cadru juridic privind salarizarea în sectorul public.</w:t>
            </w:r>
          </w:p>
          <w:p w14:paraId="0607B2A7" w14:textId="1B0565DB"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Totodată, potrivit noilor condiționalități ale reformei</w:t>
            </w:r>
            <w:r w:rsidR="005A333C">
              <w:rPr>
                <w:rFonts w:eastAsia="Calibri"/>
                <w:color w:val="000000"/>
                <w:lang w:val="ro-RO"/>
              </w:rPr>
              <w:t xml:space="preserve"> agreate la finalul anului 2025</w:t>
            </w:r>
            <w:r w:rsidRPr="00FE5A58">
              <w:rPr>
                <w:rFonts w:eastAsia="Calibri"/>
                <w:color w:val="000000"/>
                <w:lang w:val="ro-RO"/>
              </w:rPr>
              <w:t>, metodologia propusă pentru recalcularea salariilor se va baza pe:</w:t>
            </w:r>
          </w:p>
          <w:p w14:paraId="705D75AD"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w:t>
            </w:r>
            <w:r w:rsidRPr="00FE5A58">
              <w:rPr>
                <w:rFonts w:eastAsia="Calibri"/>
                <w:color w:val="000000"/>
                <w:lang w:val="ro-RO"/>
              </w:rPr>
              <w:tab/>
              <w:t>o structură de clasificare unică pentru toate familiile profesionale și o clasificare revizuită a locurilor de muncă din sectorul public, concepută pe baza unei metodologii analitice de evaluare a locurilor de muncă;</w:t>
            </w:r>
          </w:p>
          <w:p w14:paraId="4C7852DA"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w:t>
            </w:r>
            <w:r w:rsidRPr="00FE5A58">
              <w:rPr>
                <w:rFonts w:eastAsia="Calibri"/>
                <w:color w:val="000000"/>
                <w:lang w:val="ro-RO"/>
              </w:rPr>
              <w:tab/>
              <w:t>o grilă unică de salarizare pentru sectorul public, care să corespundă tuturor locurilor de muncă din sectorul public reglementate de actuala lege a salarizării;</w:t>
            </w:r>
          </w:p>
          <w:p w14:paraId="3F0F4957"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w:t>
            </w:r>
            <w:r w:rsidRPr="00FE5A58">
              <w:rPr>
                <w:rFonts w:eastAsia="Calibri"/>
                <w:color w:val="000000"/>
                <w:lang w:val="ro-RO"/>
              </w:rPr>
              <w:tab/>
              <w:t>revizuirea sistemului de remunerație variabilă, care acoperă toate drepturile salariale în afara salariului de bază, și plafonarea valorii primelor la 20% din salariul de bază, la nivelul fiecărui ordonator principal de credite.</w:t>
            </w:r>
          </w:p>
          <w:p w14:paraId="487D67C5"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Prin urmare, grilele de salarizare din Anexele la proiectul de lege au fost reanalizate și reașezate astfel încât să răspundă noilor cerințe, iar impactul financiar al noului proiect de lege a fost elaborat plecând de la ideea că noua lege privind salarizarea personalului plătit din fonduri publice va stabili o metodologie de calcul unificată pentru a asigura un sistem salarial sustenabil din punct de vedere fiscal, echitabil și legat de performanță. Reforma va sprijini ținta de deficit public pentru anul 2027 de 5,3% din PIB implicită în recomandarea revizuită a Consiliului în temeiul articolului 126 alineatul (7) din TFUE.</w:t>
            </w:r>
          </w:p>
          <w:p w14:paraId="0E02D041"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 xml:space="preserve">Totodată, noua lege a salarizării va include mecanisme instituționale de prevenire a creșterilor ad-hoc ale componentelor de bază și variabile ale salariilor. Printre acestea, noua lege va stabili în mod clar mandatul instituțional comun și </w:t>
            </w:r>
            <w:proofErr w:type="spellStart"/>
            <w:r w:rsidRPr="00FE5A58">
              <w:rPr>
                <w:rFonts w:eastAsia="Calibri"/>
                <w:color w:val="000000"/>
                <w:lang w:val="ro-RO"/>
              </w:rPr>
              <w:t>respunsabilitatea</w:t>
            </w:r>
            <w:proofErr w:type="spellEnd"/>
            <w:r w:rsidRPr="00FE5A58">
              <w:rPr>
                <w:rFonts w:eastAsia="Calibri"/>
                <w:color w:val="000000"/>
                <w:lang w:val="ro-RO"/>
              </w:rPr>
              <w:t xml:space="preserve"> MMFTSS și a MF în ceea ce privește conceperea, punerea în aplicare, monitorizarea, gestionarea și revizuirea politicii salariale din sectorul public.</w:t>
            </w:r>
          </w:p>
          <w:p w14:paraId="1CFBFF5E" w14:textId="77777777" w:rsidR="00FE5A58" w:rsidRPr="00FE5A58" w:rsidRDefault="00FE5A58" w:rsidP="00FE5A58">
            <w:pPr>
              <w:tabs>
                <w:tab w:val="left" w:pos="1155"/>
              </w:tabs>
              <w:jc w:val="both"/>
              <w:rPr>
                <w:rFonts w:eastAsia="Calibri"/>
                <w:color w:val="000000"/>
                <w:lang w:val="ro-RO"/>
              </w:rPr>
            </w:pPr>
            <w:r w:rsidRPr="00FE5A58">
              <w:rPr>
                <w:rFonts w:eastAsia="Calibri"/>
                <w:color w:val="000000"/>
                <w:lang w:val="ro-RO"/>
              </w:rPr>
              <w:t>Având în vedere necesitatea încadrării în plafoanele de cheltuieli de personal luate în considerare la elaborarea Planului bugetar structural național pe termen mediu 2025-2031, MMFTSS, în colaborare cu MF, au definitivat proiectul de lege, astfel încât să se respecte aceste condiționalități.</w:t>
            </w:r>
          </w:p>
          <w:p w14:paraId="560B46DA" w14:textId="0E81E98F" w:rsidR="007332F7" w:rsidRPr="00FE5A58" w:rsidRDefault="007332F7" w:rsidP="00D8474D">
            <w:pPr>
              <w:tabs>
                <w:tab w:val="left" w:pos="1155"/>
              </w:tabs>
              <w:jc w:val="both"/>
              <w:rPr>
                <w:rFonts w:eastAsia="Calibri"/>
                <w:color w:val="000000"/>
                <w:lang w:val="ro-RO"/>
              </w:rPr>
            </w:pPr>
          </w:p>
        </w:tc>
      </w:tr>
      <w:tr w:rsidR="00657DFC" w:rsidRPr="00254ACD" w14:paraId="07DC4104" w14:textId="77777777" w:rsidTr="002656DB">
        <w:trPr>
          <w:trHeight w:val="983"/>
        </w:trPr>
        <w:tc>
          <w:tcPr>
            <w:tcW w:w="10031" w:type="dxa"/>
            <w:gridSpan w:val="7"/>
          </w:tcPr>
          <w:p w14:paraId="7889A491" w14:textId="77777777" w:rsidR="00D8474D" w:rsidRDefault="005C3C07" w:rsidP="00C435B7">
            <w:pPr>
              <w:pStyle w:val="Normal1"/>
              <w:numPr>
                <w:ilvl w:val="1"/>
                <w:numId w:val="29"/>
              </w:numPr>
              <w:tabs>
                <w:tab w:val="left" w:pos="284"/>
              </w:tabs>
              <w:spacing w:line="276" w:lineRule="auto"/>
              <w:jc w:val="both"/>
              <w:rPr>
                <w:b/>
                <w:color w:val="000000"/>
              </w:rPr>
            </w:pPr>
            <w:r w:rsidRPr="00FE5A58">
              <w:rPr>
                <w:b/>
                <w:color w:val="000000"/>
              </w:rPr>
              <w:lastRenderedPageBreak/>
              <w:t xml:space="preserve">Schimbări preconizate </w:t>
            </w:r>
          </w:p>
          <w:p w14:paraId="7EC5928E" w14:textId="08672881" w:rsidR="00FE5A58" w:rsidRPr="00D8474D" w:rsidRDefault="00FE5A58" w:rsidP="00D8474D">
            <w:pPr>
              <w:pStyle w:val="Normal1"/>
              <w:tabs>
                <w:tab w:val="left" w:pos="284"/>
              </w:tabs>
              <w:spacing w:line="276" w:lineRule="auto"/>
              <w:jc w:val="both"/>
              <w:rPr>
                <w:rFonts w:eastAsia="Times New Roman"/>
              </w:rPr>
            </w:pPr>
            <w:r w:rsidRPr="00D8474D">
              <w:rPr>
                <w:rFonts w:eastAsia="Times New Roman"/>
              </w:rPr>
              <w:t>Proiectul de lege a fost elaborat, astfel încât să răspundă nevoii de a îmbunătății echitatea, transparența și orientarea către performanță a sistemului de salarizare, în conformitate cu Planul Național de Redresare și Reziliență al României.</w:t>
            </w:r>
          </w:p>
          <w:p w14:paraId="7C945A54" w14:textId="77777777" w:rsidR="00FE5A58" w:rsidRPr="00FE5A58" w:rsidRDefault="00FE5A58" w:rsidP="00FE5A58">
            <w:pPr>
              <w:tabs>
                <w:tab w:val="left" w:pos="1155"/>
              </w:tabs>
              <w:jc w:val="both"/>
              <w:rPr>
                <w:lang w:val="ro-RO"/>
              </w:rPr>
            </w:pPr>
            <w:r w:rsidRPr="00FE5A58">
              <w:rPr>
                <w:lang w:val="ro-RO"/>
              </w:rPr>
              <w:t>Astfel, principalul obiectiv al reformei sistemului de salarizare îl reprezintă echitatea salarială, având în vedere dezechilibrele salariale care s-au acumulat în sistemul de salarizare de la intrarea în vigoare a Legii-cadru nr. 153/2017 până în prezent.</w:t>
            </w:r>
          </w:p>
          <w:p w14:paraId="625A3562" w14:textId="77777777" w:rsidR="00FE5A58" w:rsidRPr="00FE5A58" w:rsidRDefault="00FE5A58" w:rsidP="00FE5A58">
            <w:pPr>
              <w:tabs>
                <w:tab w:val="left" w:pos="1155"/>
              </w:tabs>
              <w:jc w:val="both"/>
              <w:rPr>
                <w:lang w:val="ro-RO"/>
              </w:rPr>
            </w:pPr>
            <w:r w:rsidRPr="00FE5A58">
              <w:rPr>
                <w:lang w:val="ro-RO"/>
              </w:rPr>
              <w:t>Totodată, în contextul macroeconomic și fiscal actual din România, sustenabilitatea fiscală pe termen lung trebuie să fie un element principal în proiectarea noului sistem de salarizare.</w:t>
            </w:r>
          </w:p>
          <w:p w14:paraId="39BEEDF5" w14:textId="77777777" w:rsidR="00FE5A58" w:rsidRPr="00FE5A58" w:rsidRDefault="00FE5A58" w:rsidP="00FE5A58">
            <w:pPr>
              <w:tabs>
                <w:tab w:val="left" w:pos="1155"/>
              </w:tabs>
              <w:jc w:val="both"/>
              <w:rPr>
                <w:lang w:val="ro-RO"/>
              </w:rPr>
            </w:pPr>
            <w:r w:rsidRPr="00FE5A58">
              <w:rPr>
                <w:lang w:val="ro-RO"/>
              </w:rPr>
              <w:t>Cu privire la obiectul de reglementare, pentru a preveni inițiative de acordare a drepturilor salariale în afara legii salarizării, în noul text de lege se menționează că "Toate drepturile salariale sau de natură salarială care pot fi acordate personalului (…) se stabilesc, în mod exclusiv, prin prezenta lege. Acordarea de drepturi salariale sau de natură salarială pentru personalul (…) prin alte acte normative decât prin prezenta lege, este lovită de nulitate absolută."</w:t>
            </w:r>
          </w:p>
          <w:p w14:paraId="6CBBA56B" w14:textId="77777777" w:rsidR="00FE5A58" w:rsidRPr="00FE5A58" w:rsidRDefault="00FE5A58" w:rsidP="00FE5A58">
            <w:pPr>
              <w:tabs>
                <w:tab w:val="left" w:pos="1155"/>
              </w:tabs>
              <w:jc w:val="both"/>
              <w:rPr>
                <w:lang w:val="ro-RO"/>
              </w:rPr>
            </w:pPr>
            <w:r w:rsidRPr="00FE5A58">
              <w:rPr>
                <w:lang w:val="ro-RO"/>
              </w:rPr>
              <w:t xml:space="preserve">Referitor la domeniul de aplicare, rămân exceptate de la aplicarea legii salarizării Banca </w:t>
            </w:r>
            <w:proofErr w:type="spellStart"/>
            <w:r w:rsidRPr="00FE5A58">
              <w:rPr>
                <w:lang w:val="ro-RO"/>
              </w:rPr>
              <w:t>Naţională</w:t>
            </w:r>
            <w:proofErr w:type="spellEnd"/>
            <w:r w:rsidRPr="00FE5A58">
              <w:rPr>
                <w:lang w:val="ro-RO"/>
              </w:rPr>
              <w:t xml:space="preserve"> a României, Autoritatea de Supraveghere Financiară, Autoritatea </w:t>
            </w:r>
            <w:proofErr w:type="spellStart"/>
            <w:r w:rsidRPr="00FE5A58">
              <w:rPr>
                <w:lang w:val="ro-RO"/>
              </w:rPr>
              <w:t>Naţională</w:t>
            </w:r>
            <w:proofErr w:type="spellEnd"/>
            <w:r w:rsidRPr="00FE5A58">
              <w:rPr>
                <w:lang w:val="ro-RO"/>
              </w:rPr>
              <w:t xml:space="preserve"> de Reglementare în Domeniul Energiei </w:t>
            </w:r>
            <w:proofErr w:type="spellStart"/>
            <w:r w:rsidRPr="00FE5A58">
              <w:rPr>
                <w:lang w:val="ro-RO"/>
              </w:rPr>
              <w:t>şi</w:t>
            </w:r>
            <w:proofErr w:type="spellEnd"/>
            <w:r w:rsidRPr="00FE5A58">
              <w:rPr>
                <w:lang w:val="ro-RO"/>
              </w:rPr>
              <w:t xml:space="preserve"> Autoritatea </w:t>
            </w:r>
            <w:proofErr w:type="spellStart"/>
            <w:r w:rsidRPr="00FE5A58">
              <w:rPr>
                <w:lang w:val="ro-RO"/>
              </w:rPr>
              <w:t>Naţională</w:t>
            </w:r>
            <w:proofErr w:type="spellEnd"/>
            <w:r w:rsidRPr="00FE5A58">
              <w:rPr>
                <w:lang w:val="ro-RO"/>
              </w:rPr>
              <w:t xml:space="preserve"> pentru Administrare </w:t>
            </w:r>
            <w:proofErr w:type="spellStart"/>
            <w:r w:rsidRPr="00FE5A58">
              <w:rPr>
                <w:lang w:val="ro-RO"/>
              </w:rPr>
              <w:t>şi</w:t>
            </w:r>
            <w:proofErr w:type="spellEnd"/>
            <w:r w:rsidRPr="00FE5A58">
              <w:rPr>
                <w:lang w:val="ro-RO"/>
              </w:rPr>
              <w:t xml:space="preserve"> Reglementare în </w:t>
            </w:r>
            <w:proofErr w:type="spellStart"/>
            <w:r w:rsidRPr="00FE5A58">
              <w:rPr>
                <w:lang w:val="ro-RO"/>
              </w:rPr>
              <w:t>Comunicaţii</w:t>
            </w:r>
            <w:proofErr w:type="spellEnd"/>
            <w:r w:rsidRPr="00FE5A58">
              <w:rPr>
                <w:lang w:val="ro-RO"/>
              </w:rPr>
              <w:t>.</w:t>
            </w:r>
          </w:p>
          <w:p w14:paraId="75C5FCC5" w14:textId="77777777" w:rsidR="00FE5A58" w:rsidRPr="00FE5A58" w:rsidRDefault="00FE5A58" w:rsidP="00FE5A58">
            <w:pPr>
              <w:tabs>
                <w:tab w:val="left" w:pos="1155"/>
              </w:tabs>
              <w:jc w:val="both"/>
              <w:rPr>
                <w:lang w:val="ro-RO"/>
              </w:rPr>
            </w:pPr>
            <w:r w:rsidRPr="00FE5A58">
              <w:rPr>
                <w:lang w:val="ro-RO"/>
              </w:rPr>
              <w:lastRenderedPageBreak/>
              <w:t>În ceea ce privește gestionarea sistemului de salarizare se introduce mandatul instituțional comun al MMFTSS și al MF privind conceperea, punerea în aplicare, monitorizarea, gestionarea și revizuirea politicii salariale din sectorul public.</w:t>
            </w:r>
            <w:r w:rsidRPr="00FE5A58">
              <w:rPr>
                <w:lang w:val="it-IT"/>
              </w:rPr>
              <w:t xml:space="preserve"> </w:t>
            </w:r>
            <w:r w:rsidRPr="00FE5A58">
              <w:rPr>
                <w:lang w:val="ro-RO"/>
              </w:rPr>
              <w:t xml:space="preserve"> În cadrul mandatului comun MMFTSS coordonează din punct de vedere tehnic și metodologic elaborarea politicilor publice, strategiilor </w:t>
            </w:r>
            <w:proofErr w:type="spellStart"/>
            <w:r w:rsidRPr="00FE5A58">
              <w:rPr>
                <w:lang w:val="ro-RO"/>
              </w:rPr>
              <w:t>nationale</w:t>
            </w:r>
            <w:proofErr w:type="spellEnd"/>
            <w:r w:rsidRPr="00FE5A58">
              <w:rPr>
                <w:lang w:val="ro-RO"/>
              </w:rPr>
              <w:t xml:space="preserve"> </w:t>
            </w:r>
            <w:proofErr w:type="spellStart"/>
            <w:r w:rsidRPr="00FE5A58">
              <w:rPr>
                <w:lang w:val="ro-RO"/>
              </w:rPr>
              <w:t>şi</w:t>
            </w:r>
            <w:proofErr w:type="spellEnd"/>
            <w:r w:rsidRPr="00FE5A58">
              <w:rPr>
                <w:lang w:val="ro-RO"/>
              </w:rPr>
              <w:t xml:space="preserve"> proiectelor de acte normative și a metodologiilor de aplicare în domeniul salarizării iar MF coordonează din punct de vedere fiscal-bugetar sistemul de salarizare, prin evaluarea impactului bugetar, asigurarea sustenabilității și încadrării în limitele bugetare, precum și prin stabilirea regulilor de fundamentare, bugetare și evidență a cheltuielilor de personal.</w:t>
            </w:r>
          </w:p>
          <w:p w14:paraId="477EF7FE" w14:textId="77777777" w:rsidR="00FE5A58" w:rsidRPr="00FE5A58" w:rsidRDefault="00FE5A58" w:rsidP="00FE5A58">
            <w:pPr>
              <w:tabs>
                <w:tab w:val="left" w:pos="1155"/>
              </w:tabs>
              <w:jc w:val="both"/>
              <w:rPr>
                <w:lang w:val="ro-RO"/>
              </w:rPr>
            </w:pPr>
            <w:r w:rsidRPr="00FE5A58">
              <w:rPr>
                <w:lang w:val="ro-RO"/>
              </w:rPr>
              <w:t xml:space="preserve">Pentru încadrarea în anvelopa salarială, raportul salarial dintre cel mai mic salariu de bază </w:t>
            </w:r>
            <w:proofErr w:type="spellStart"/>
            <w:r w:rsidRPr="00FE5A58">
              <w:rPr>
                <w:lang w:val="ro-RO"/>
              </w:rPr>
              <w:t>şi</w:t>
            </w:r>
            <w:proofErr w:type="spellEnd"/>
            <w:r w:rsidRPr="00FE5A58">
              <w:rPr>
                <w:lang w:val="ro-RO"/>
              </w:rPr>
              <w:t xml:space="preserve"> cel mai mare salariu de bază, soldă de </w:t>
            </w:r>
            <w:proofErr w:type="spellStart"/>
            <w:r w:rsidRPr="00FE5A58">
              <w:rPr>
                <w:lang w:val="ro-RO"/>
              </w:rPr>
              <w:t>funcţie</w:t>
            </w:r>
            <w:proofErr w:type="spellEnd"/>
            <w:r w:rsidRPr="00FE5A58">
              <w:rPr>
                <w:lang w:val="ro-RO"/>
              </w:rPr>
              <w:t xml:space="preserve">/salariu de </w:t>
            </w:r>
            <w:proofErr w:type="spellStart"/>
            <w:r w:rsidRPr="00FE5A58">
              <w:rPr>
                <w:lang w:val="ro-RO"/>
              </w:rPr>
              <w:t>funcţie</w:t>
            </w:r>
            <w:proofErr w:type="spellEnd"/>
            <w:r w:rsidRPr="00FE5A58">
              <w:rPr>
                <w:lang w:val="ro-RO"/>
              </w:rPr>
              <w:t xml:space="preserve">, </w:t>
            </w:r>
            <w:proofErr w:type="spellStart"/>
            <w:r w:rsidRPr="00FE5A58">
              <w:rPr>
                <w:lang w:val="ro-RO"/>
              </w:rPr>
              <w:t>indemnizaţie</w:t>
            </w:r>
            <w:proofErr w:type="spellEnd"/>
            <w:r w:rsidRPr="00FE5A58">
              <w:rPr>
                <w:lang w:val="ro-RO"/>
              </w:rPr>
              <w:t xml:space="preserve"> de încadrare, </w:t>
            </w:r>
            <w:proofErr w:type="spellStart"/>
            <w:r w:rsidRPr="00FE5A58">
              <w:rPr>
                <w:lang w:val="ro-RO"/>
              </w:rPr>
              <w:t>indemnizaţie</w:t>
            </w:r>
            <w:proofErr w:type="spellEnd"/>
            <w:r w:rsidRPr="00FE5A58">
              <w:rPr>
                <w:lang w:val="ro-RO"/>
              </w:rPr>
              <w:t xml:space="preserve"> lunară este de 1 la 8, față de 1 la 12 în actuala lege.</w:t>
            </w:r>
          </w:p>
          <w:p w14:paraId="6CFCB0CD" w14:textId="77777777" w:rsidR="00FE5A58" w:rsidRPr="00FE5A58" w:rsidRDefault="00FE5A58" w:rsidP="00FE5A58">
            <w:pPr>
              <w:tabs>
                <w:tab w:val="left" w:pos="1155"/>
              </w:tabs>
              <w:jc w:val="both"/>
              <w:rPr>
                <w:lang w:val="ro-RO"/>
              </w:rPr>
            </w:pPr>
            <w:r w:rsidRPr="00FE5A58">
              <w:rPr>
                <w:lang w:val="ro-RO"/>
              </w:rPr>
              <w:t>Tot ca element de noutate față de legislația actuală, noua lege reglementează modalitatea de ierarhizare a funcțiilor din sistemul public, prin plasarea acestora într-o structură de grade de salarizare, având la bază o metodă analitică de evaluare a funcțiilor. Metodologia de evaluare a funcțiilor se aprobă prin hotărâre a Guvernului, la propunerea MMFTSS.</w:t>
            </w:r>
          </w:p>
          <w:p w14:paraId="35178708" w14:textId="77777777" w:rsidR="00FE5A58" w:rsidRPr="00FE5A58" w:rsidRDefault="00FE5A58" w:rsidP="00FE5A58">
            <w:pPr>
              <w:tabs>
                <w:tab w:val="left" w:pos="1155"/>
              </w:tabs>
              <w:jc w:val="both"/>
              <w:rPr>
                <w:lang w:val="ro-RO"/>
              </w:rPr>
            </w:pPr>
            <w:r w:rsidRPr="00FE5A58">
              <w:rPr>
                <w:lang w:val="ro-RO"/>
              </w:rPr>
              <w:t>În noua lege este prevăzută o structura de grade salariale, cărora le corespund intervale de coeficienți. Ajustarea coeficienților corespunzători funcțiilor prevăzute de noua lege se realizează doar cu avizul MMFTSS și MF, răspunzând astfel, la prevederea din CID conform căreia, -"Noile acte juridice includ mecanisme instituționale de prevenire a creșterilor ad-hoc ale componentelor de bază și variabile ale salariilor. Printre acestea, actele juridice stabilesc în mod clar mandatul instituțional comun și responsabilitatea Ministerului Muncii și a Ministerului Finanțelor în ceea ce privește conceperea, punerea în aplicare, monitorizarea, gestionarea și revizuirea politicii salariale din sectorul public."</w:t>
            </w:r>
          </w:p>
          <w:p w14:paraId="62A420BC" w14:textId="77777777" w:rsidR="00FE5A58" w:rsidRPr="00FE5A58" w:rsidRDefault="00FE5A58" w:rsidP="00FE5A58">
            <w:pPr>
              <w:tabs>
                <w:tab w:val="left" w:pos="1155"/>
              </w:tabs>
              <w:jc w:val="both"/>
              <w:rPr>
                <w:lang w:val="ro-RO"/>
              </w:rPr>
            </w:pPr>
            <w:r w:rsidRPr="00FE5A58">
              <w:rPr>
                <w:lang w:val="ro-RO"/>
              </w:rPr>
              <w:t xml:space="preserve">Structura unică de clasificare oferă o metodă transparentă și simplă de ierarhizare a funcțiilor și de asigurare a echității salariale. Această structură susține echitatea salarială oferind un mecanism clar de monitorizare a schimbărilor și garantând că orice repoziționare sau ajustare a unei funcții din sectorul public are un impact asupra funcțiilor cu un grad similar de complexitate din același grad. De asemenea, aceasta facilitează comunicarea transparentă cu privire la oportunitățile de dezvoltare și de progres în carieră oferite de sistemul de salarizare. </w:t>
            </w:r>
          </w:p>
          <w:p w14:paraId="4D88BC8A" w14:textId="77777777" w:rsidR="00FE5A58" w:rsidRPr="00FE5A58" w:rsidRDefault="00FE5A58" w:rsidP="00FE5A58">
            <w:pPr>
              <w:tabs>
                <w:tab w:val="left" w:pos="1155"/>
              </w:tabs>
              <w:jc w:val="both"/>
              <w:rPr>
                <w:lang w:val="ro-RO"/>
              </w:rPr>
            </w:pPr>
            <w:r w:rsidRPr="00FE5A58">
              <w:rPr>
                <w:lang w:val="ro-RO"/>
              </w:rPr>
              <w:t>Aceste elemente au rolul de a limita modificările ad-hoc, ulterioare intrării în vigoare a legii, în ierarhia funcțiilor și prevenirea apariției unor noi decalaje și discrepanțe salariale între diferitele categorii profesionale.</w:t>
            </w:r>
          </w:p>
          <w:p w14:paraId="11B5D7B9" w14:textId="77777777" w:rsidR="00FE5A58" w:rsidRPr="00FE5A58" w:rsidRDefault="00FE5A58" w:rsidP="00FE5A58">
            <w:pPr>
              <w:tabs>
                <w:tab w:val="left" w:pos="1155"/>
              </w:tabs>
              <w:jc w:val="both"/>
              <w:rPr>
                <w:lang w:val="ro-RO"/>
              </w:rPr>
            </w:pPr>
            <w:r w:rsidRPr="00FE5A58">
              <w:rPr>
                <w:lang w:val="ro-RO"/>
              </w:rPr>
              <w:t xml:space="preserve">În ceea ce privește modalitatea de stabilire a salariilor de bază, soldelor de </w:t>
            </w:r>
            <w:proofErr w:type="spellStart"/>
            <w:r w:rsidRPr="00FE5A58">
              <w:rPr>
                <w:lang w:val="ro-RO"/>
              </w:rPr>
              <w:t>funcţie</w:t>
            </w:r>
            <w:proofErr w:type="spellEnd"/>
            <w:r w:rsidRPr="00FE5A58">
              <w:rPr>
                <w:lang w:val="ro-RO"/>
              </w:rPr>
              <w:t xml:space="preserve">/salariilor de </w:t>
            </w:r>
            <w:proofErr w:type="spellStart"/>
            <w:r w:rsidRPr="00FE5A58">
              <w:rPr>
                <w:lang w:val="ro-RO"/>
              </w:rPr>
              <w:t>funcţie</w:t>
            </w:r>
            <w:proofErr w:type="spellEnd"/>
            <w:r w:rsidRPr="00FE5A58">
              <w:rPr>
                <w:lang w:val="ro-RO"/>
              </w:rPr>
              <w:t xml:space="preserve">, a </w:t>
            </w:r>
            <w:proofErr w:type="spellStart"/>
            <w:r w:rsidRPr="00FE5A58">
              <w:rPr>
                <w:lang w:val="ro-RO"/>
              </w:rPr>
              <w:t>indemnizaţiilor</w:t>
            </w:r>
            <w:proofErr w:type="spellEnd"/>
            <w:r w:rsidRPr="00FE5A58">
              <w:rPr>
                <w:lang w:val="ro-RO"/>
              </w:rPr>
              <w:t xml:space="preserve"> de încadrare </w:t>
            </w:r>
            <w:proofErr w:type="spellStart"/>
            <w:r w:rsidRPr="00FE5A58">
              <w:rPr>
                <w:lang w:val="ro-RO"/>
              </w:rPr>
              <w:t>şi</w:t>
            </w:r>
            <w:proofErr w:type="spellEnd"/>
            <w:r w:rsidRPr="00FE5A58">
              <w:rPr>
                <w:lang w:val="ro-RO"/>
              </w:rPr>
              <w:t xml:space="preserve"> a </w:t>
            </w:r>
            <w:proofErr w:type="spellStart"/>
            <w:r w:rsidRPr="00FE5A58">
              <w:rPr>
                <w:lang w:val="ro-RO"/>
              </w:rPr>
              <w:t>indemnizaţiilor</w:t>
            </w:r>
            <w:proofErr w:type="spellEnd"/>
            <w:r w:rsidRPr="00FE5A58">
              <w:rPr>
                <w:lang w:val="ro-RO"/>
              </w:rPr>
              <w:t xml:space="preserve"> lunare, noua lege prevede că acestea se stabilesc prin </w:t>
            </w:r>
            <w:proofErr w:type="spellStart"/>
            <w:r w:rsidRPr="00FE5A58">
              <w:rPr>
                <w:lang w:val="ro-RO"/>
              </w:rPr>
              <w:t>înmulţirea</w:t>
            </w:r>
            <w:proofErr w:type="spellEnd"/>
            <w:r w:rsidRPr="00FE5A58">
              <w:rPr>
                <w:lang w:val="ro-RO"/>
              </w:rPr>
              <w:t xml:space="preserve"> </w:t>
            </w:r>
            <w:proofErr w:type="spellStart"/>
            <w:r w:rsidRPr="00FE5A58">
              <w:rPr>
                <w:lang w:val="ro-RO"/>
              </w:rPr>
              <w:t>coeficienţilor</w:t>
            </w:r>
            <w:proofErr w:type="spellEnd"/>
            <w:r w:rsidRPr="00FE5A58">
              <w:rPr>
                <w:lang w:val="ro-RO"/>
              </w:rPr>
              <w:t xml:space="preserve"> prevăzuți în anexele I-IX cu valoarea de referință.</w:t>
            </w:r>
          </w:p>
          <w:p w14:paraId="082182AB" w14:textId="4ACDFADA" w:rsidR="00FE5A58" w:rsidRPr="00FE5A58" w:rsidRDefault="00FE5A58" w:rsidP="00FE5A58">
            <w:pPr>
              <w:tabs>
                <w:tab w:val="left" w:pos="1155"/>
              </w:tabs>
              <w:jc w:val="both"/>
              <w:rPr>
                <w:lang w:val="ro-RO"/>
              </w:rPr>
            </w:pPr>
            <w:r w:rsidRPr="00FE5A58">
              <w:rPr>
                <w:lang w:val="ro-RO"/>
              </w:rPr>
              <w:t xml:space="preserve">Valoarea de </w:t>
            </w:r>
            <w:proofErr w:type="spellStart"/>
            <w:r w:rsidRPr="00FE5A58">
              <w:rPr>
                <w:lang w:val="ro-RO"/>
              </w:rPr>
              <w:t>referinţă</w:t>
            </w:r>
            <w:proofErr w:type="spellEnd"/>
            <w:r w:rsidRPr="00FE5A58">
              <w:rPr>
                <w:lang w:val="ro-RO"/>
              </w:rPr>
              <w:t xml:space="preserve"> corespunzătoare coeficientului 1,00 se stabile</w:t>
            </w:r>
            <w:r w:rsidR="005318E4">
              <w:rPr>
                <w:lang w:val="ro-RO"/>
              </w:rPr>
              <w:t>ș</w:t>
            </w:r>
            <w:r w:rsidRPr="00FE5A58">
              <w:rPr>
                <w:lang w:val="ro-RO"/>
              </w:rPr>
              <w:t>te anual prin legea bugetului de stat. Totodată, în acord cu legislația de transpunere a prevederilor Directivei (UE) 2022/2041 a Parlamentului European și a Consiliului privind salariile minime adecvate în Uniunea Europeană, noua lege prevede: "În situația în care, salariul de bază, solda de func</w:t>
            </w:r>
            <w:r w:rsidR="005318E4">
              <w:rPr>
                <w:lang w:val="ro-RO"/>
              </w:rPr>
              <w:t>ț</w:t>
            </w:r>
            <w:r w:rsidRPr="00FE5A58">
              <w:rPr>
                <w:lang w:val="ro-RO"/>
              </w:rPr>
              <w:t>ie/salariul de func</w:t>
            </w:r>
            <w:r w:rsidR="005318E4">
              <w:rPr>
                <w:lang w:val="ro-RO"/>
              </w:rPr>
              <w:t>ț</w:t>
            </w:r>
            <w:r w:rsidRPr="00FE5A58">
              <w:rPr>
                <w:lang w:val="ro-RO"/>
              </w:rPr>
              <w:t>ie, indemniza</w:t>
            </w:r>
            <w:r w:rsidR="005318E4">
              <w:rPr>
                <w:lang w:val="ro-RO"/>
              </w:rPr>
              <w:t>ț</w:t>
            </w:r>
            <w:r w:rsidRPr="00FE5A58">
              <w:rPr>
                <w:lang w:val="ro-RO"/>
              </w:rPr>
              <w:t>ia de încadrare și indemnizația lunară rezultate ca urmare a aplicării prevederilor prezentei legi sunt mai mici decât valoarea salariului de bază minim brut pe țară garantat în plată, se va acorda salariul de bază minim brut pe țară garantat în plată."</w:t>
            </w:r>
          </w:p>
          <w:p w14:paraId="089E7EEA" w14:textId="2E82162E" w:rsidR="00FE5A58" w:rsidRPr="00FE5A58" w:rsidRDefault="00FE5A58" w:rsidP="00FE5A58">
            <w:pPr>
              <w:tabs>
                <w:tab w:val="left" w:pos="1155"/>
              </w:tabs>
              <w:jc w:val="both"/>
              <w:rPr>
                <w:lang w:val="ro-RO"/>
              </w:rPr>
            </w:pPr>
            <w:r w:rsidRPr="00FE5A58">
              <w:rPr>
                <w:lang w:val="ro-RO"/>
              </w:rPr>
              <w:t>Salariile de bază pentru funcțiile de execuție, determinate prin înmul</w:t>
            </w:r>
            <w:r w:rsidR="005318E4">
              <w:rPr>
                <w:lang w:val="ro-RO"/>
              </w:rPr>
              <w:t>ț</w:t>
            </w:r>
            <w:r w:rsidRPr="00FE5A58">
              <w:rPr>
                <w:lang w:val="ro-RO"/>
              </w:rPr>
              <w:t>irea coeficien</w:t>
            </w:r>
            <w:r w:rsidR="005318E4">
              <w:rPr>
                <w:lang w:val="ro-RO"/>
              </w:rPr>
              <w:t>ț</w:t>
            </w:r>
            <w:r w:rsidRPr="00FE5A58">
              <w:rPr>
                <w:lang w:val="ro-RO"/>
              </w:rPr>
              <w:t xml:space="preserve">ilor </w:t>
            </w:r>
            <w:r w:rsidR="00D8474D">
              <w:rPr>
                <w:lang w:val="ro-RO"/>
              </w:rPr>
              <w:t xml:space="preserve">de salarizare </w:t>
            </w:r>
            <w:r w:rsidRPr="00FE5A58">
              <w:rPr>
                <w:lang w:val="ro-RO"/>
              </w:rPr>
              <w:t>prevăzuți în anexele legii cu valoarea de referință, sunt la gradația 0.</w:t>
            </w:r>
          </w:p>
          <w:p w14:paraId="4377919A" w14:textId="77777777" w:rsidR="00FE5A58" w:rsidRDefault="00FE5A58" w:rsidP="00FE5A58">
            <w:pPr>
              <w:tabs>
                <w:tab w:val="left" w:pos="1155"/>
              </w:tabs>
              <w:jc w:val="both"/>
              <w:rPr>
                <w:lang w:val="ro-RO"/>
              </w:rPr>
            </w:pPr>
            <w:r w:rsidRPr="00FE5A58">
              <w:rPr>
                <w:lang w:val="ro-RO"/>
              </w:rPr>
              <w:t>Legea reglementează un cadru unitar și pentru salarizarea la nivelul administrației publice locale, salarizarea acestei categorii de personal urmând să se facă potrivit grilelor de salarizare din noul proiect, în acord cu prevederile din CID -"grilă unică de salarizare pentru sectorul public, care să corespundă tuturor locurilor de muncă din sectorul public reglementate de actuala Lege a salarizării (Legea-cadru nr. 153/2017)".</w:t>
            </w:r>
          </w:p>
          <w:p w14:paraId="5D199C6E" w14:textId="336C5678" w:rsidR="00FE5A58" w:rsidRPr="00D8474D" w:rsidRDefault="00D8474D" w:rsidP="00FE5A58">
            <w:pPr>
              <w:tabs>
                <w:tab w:val="left" w:pos="1155"/>
              </w:tabs>
              <w:jc w:val="both"/>
              <w:rPr>
                <w:lang w:val="ro-RO"/>
              </w:rPr>
            </w:pPr>
            <w:r>
              <w:rPr>
                <w:lang w:val="ro-RO"/>
              </w:rPr>
              <w:t xml:space="preserve">Proiectul de lege prevede acordarea unor sporuri pentru activități specifice, </w:t>
            </w:r>
            <w:r w:rsidRPr="00D8474D">
              <w:rPr>
                <w:lang w:val="ro-RO"/>
              </w:rPr>
              <w:t>cum ar fi</w:t>
            </w:r>
            <w:r w:rsidR="00FE5A58" w:rsidRPr="00D8474D">
              <w:rPr>
                <w:lang w:val="ro-RO"/>
              </w:rPr>
              <w:t>:</w:t>
            </w:r>
          </w:p>
          <w:p w14:paraId="3A931FD9" w14:textId="5E3DFF0D" w:rsidR="00FE5A58" w:rsidRPr="00D8474D" w:rsidRDefault="00FE5A58" w:rsidP="00D8474D">
            <w:pPr>
              <w:tabs>
                <w:tab w:val="left" w:pos="335"/>
              </w:tabs>
              <w:jc w:val="both"/>
              <w:rPr>
                <w:lang w:val="ro-RO"/>
              </w:rPr>
            </w:pPr>
            <w:r w:rsidRPr="00D8474D">
              <w:rPr>
                <w:lang w:val="ro-RO"/>
              </w:rPr>
              <w:t>•</w:t>
            </w:r>
            <w:r w:rsidRPr="00D8474D">
              <w:rPr>
                <w:lang w:val="ro-RO"/>
              </w:rPr>
              <w:tab/>
              <w:t>pentru activitatea de control financiar preventiv, în procent de 10%;</w:t>
            </w:r>
          </w:p>
          <w:p w14:paraId="39399349" w14:textId="0B6E7E2D" w:rsidR="00FE5A58" w:rsidRPr="00D8474D" w:rsidRDefault="00FE5A58" w:rsidP="00D8474D">
            <w:pPr>
              <w:tabs>
                <w:tab w:val="left" w:pos="335"/>
              </w:tabs>
              <w:jc w:val="both"/>
              <w:rPr>
                <w:lang w:val="ro-RO"/>
              </w:rPr>
            </w:pPr>
            <w:r w:rsidRPr="00D8474D">
              <w:rPr>
                <w:lang w:val="ro-RO"/>
              </w:rPr>
              <w:t>•</w:t>
            </w:r>
            <w:r w:rsidRPr="00D8474D">
              <w:rPr>
                <w:lang w:val="ro-RO"/>
              </w:rPr>
              <w:tab/>
              <w:t xml:space="preserve">pentru personalul implicat în echipele de implementare a proiectelor din fonduri europene nerambursabile </w:t>
            </w:r>
            <w:proofErr w:type="spellStart"/>
            <w:r w:rsidRPr="00D8474D">
              <w:rPr>
                <w:lang w:val="ro-RO"/>
              </w:rPr>
              <w:t>şi</w:t>
            </w:r>
            <w:proofErr w:type="spellEnd"/>
            <w:r w:rsidRPr="00D8474D">
              <w:rPr>
                <w:lang w:val="ro-RO"/>
              </w:rPr>
              <w:t xml:space="preserve">/sau fonduri externe rambursabile, în procent de 40%; se introduce posibilitatea ca și funcțiile de demnitate publică -ordonator de credite care vizează acordarea fondurilor externe să beneficieze de această majorare, așa cum beneficiază funcțiile de </w:t>
            </w:r>
            <w:proofErr w:type="spellStart"/>
            <w:r w:rsidRPr="00D8474D">
              <w:rPr>
                <w:lang w:val="ro-RO"/>
              </w:rPr>
              <w:t>preşedinte</w:t>
            </w:r>
            <w:proofErr w:type="spellEnd"/>
            <w:r w:rsidRPr="00D8474D">
              <w:rPr>
                <w:lang w:val="ro-RO"/>
              </w:rPr>
              <w:t xml:space="preserve"> </w:t>
            </w:r>
            <w:proofErr w:type="spellStart"/>
            <w:r w:rsidRPr="00D8474D">
              <w:rPr>
                <w:lang w:val="ro-RO"/>
              </w:rPr>
              <w:t>şi</w:t>
            </w:r>
            <w:proofErr w:type="spellEnd"/>
            <w:r w:rsidRPr="00D8474D">
              <w:rPr>
                <w:lang w:val="ro-RO"/>
              </w:rPr>
              <w:t xml:space="preserve"> </w:t>
            </w:r>
            <w:proofErr w:type="spellStart"/>
            <w:r w:rsidRPr="00D8474D">
              <w:rPr>
                <w:lang w:val="ro-RO"/>
              </w:rPr>
              <w:t>vicepreşedinte</w:t>
            </w:r>
            <w:proofErr w:type="spellEnd"/>
            <w:r w:rsidRPr="00D8474D">
              <w:rPr>
                <w:lang w:val="ro-RO"/>
              </w:rPr>
              <w:t xml:space="preserve"> a consiliilor </w:t>
            </w:r>
            <w:proofErr w:type="spellStart"/>
            <w:r w:rsidRPr="00D8474D">
              <w:rPr>
                <w:lang w:val="ro-RO"/>
              </w:rPr>
              <w:t>judeţene</w:t>
            </w:r>
            <w:proofErr w:type="spellEnd"/>
            <w:r w:rsidRPr="00D8474D">
              <w:rPr>
                <w:lang w:val="ro-RO"/>
              </w:rPr>
              <w:t xml:space="preserve"> </w:t>
            </w:r>
            <w:proofErr w:type="spellStart"/>
            <w:r w:rsidRPr="00D8474D">
              <w:rPr>
                <w:lang w:val="ro-RO"/>
              </w:rPr>
              <w:t>şi</w:t>
            </w:r>
            <w:proofErr w:type="spellEnd"/>
            <w:r w:rsidRPr="00D8474D">
              <w:rPr>
                <w:lang w:val="ro-RO"/>
              </w:rPr>
              <w:t xml:space="preserve"> primar </w:t>
            </w:r>
            <w:proofErr w:type="spellStart"/>
            <w:r w:rsidRPr="00D8474D">
              <w:rPr>
                <w:lang w:val="ro-RO"/>
              </w:rPr>
              <w:t>şi</w:t>
            </w:r>
            <w:proofErr w:type="spellEnd"/>
            <w:r w:rsidRPr="00D8474D">
              <w:rPr>
                <w:lang w:val="ro-RO"/>
              </w:rPr>
              <w:t xml:space="preserve"> viceprimar,</w:t>
            </w:r>
          </w:p>
          <w:p w14:paraId="70D42DFC" w14:textId="41F9B447" w:rsidR="00FE5A58" w:rsidRPr="00FE5A58" w:rsidRDefault="00FE5A58" w:rsidP="00D8474D">
            <w:pPr>
              <w:tabs>
                <w:tab w:val="left" w:pos="335"/>
              </w:tabs>
              <w:jc w:val="both"/>
              <w:rPr>
                <w:lang w:val="ro-RO"/>
              </w:rPr>
            </w:pPr>
            <w:r w:rsidRPr="00D8474D">
              <w:rPr>
                <w:lang w:val="ro-RO"/>
              </w:rPr>
              <w:t>•</w:t>
            </w:r>
            <w:r w:rsidRPr="00D8474D">
              <w:rPr>
                <w:lang w:val="ro-RO"/>
              </w:rPr>
              <w:tab/>
              <w:t>pentru personalul implicat în gestionarea fondurilor externe, în procent de 40%</w:t>
            </w:r>
            <w:r w:rsidR="00D8474D">
              <w:rPr>
                <w:lang w:val="ro-RO"/>
              </w:rPr>
              <w:t>.</w:t>
            </w:r>
          </w:p>
          <w:p w14:paraId="16F50DEB" w14:textId="77777777" w:rsidR="00FE5A58" w:rsidRPr="00FE5A58" w:rsidRDefault="00FE5A58" w:rsidP="00D8474D">
            <w:pPr>
              <w:tabs>
                <w:tab w:val="left" w:pos="335"/>
                <w:tab w:val="left" w:pos="1155"/>
              </w:tabs>
              <w:jc w:val="both"/>
              <w:rPr>
                <w:lang w:val="ro-RO"/>
              </w:rPr>
            </w:pPr>
          </w:p>
          <w:p w14:paraId="52239D1A" w14:textId="480F0BB9" w:rsidR="00FE5A58" w:rsidRPr="00FE5A58" w:rsidRDefault="00FE5A58" w:rsidP="00FE5A58">
            <w:pPr>
              <w:tabs>
                <w:tab w:val="left" w:pos="1155"/>
              </w:tabs>
              <w:jc w:val="both"/>
              <w:rPr>
                <w:lang w:val="ro-RO"/>
              </w:rPr>
            </w:pPr>
            <w:r w:rsidRPr="00FE5A58">
              <w:rPr>
                <w:lang w:val="ro-RO"/>
              </w:rPr>
              <w:t xml:space="preserve">A fost </w:t>
            </w:r>
            <w:r w:rsidR="00590C4E">
              <w:rPr>
                <w:lang w:val="ro-RO"/>
              </w:rPr>
              <w:t xml:space="preserve">eliminată posibilitatea </w:t>
            </w:r>
            <w:r w:rsidRPr="00FE5A58">
              <w:rPr>
                <w:lang w:val="ro-RO"/>
              </w:rPr>
              <w:t>acord</w:t>
            </w:r>
            <w:r w:rsidR="00590C4E">
              <w:rPr>
                <w:lang w:val="ro-RO"/>
              </w:rPr>
              <w:t>ării</w:t>
            </w:r>
            <w:r w:rsidRPr="00FE5A58">
              <w:rPr>
                <w:lang w:val="ro-RO"/>
              </w:rPr>
              <w:t xml:space="preserve"> indemnizației de hrană</w:t>
            </w:r>
            <w:r w:rsidR="00590C4E">
              <w:rPr>
                <w:lang w:val="ro-RO"/>
              </w:rPr>
              <w:t xml:space="preserve"> prevăzută de actuala legislație privind salarizarea personalului plătit din fonduri pub</w:t>
            </w:r>
            <w:r w:rsidR="00EB2514">
              <w:rPr>
                <w:lang w:val="ro-RO"/>
              </w:rPr>
              <w:t>l</w:t>
            </w:r>
            <w:r w:rsidR="00590C4E">
              <w:rPr>
                <w:lang w:val="ro-RO"/>
              </w:rPr>
              <w:t xml:space="preserve">ice. </w:t>
            </w:r>
          </w:p>
          <w:p w14:paraId="3B4ED925" w14:textId="281B146F" w:rsidR="00FE5A58" w:rsidRPr="00FE5A58" w:rsidRDefault="00590C4E" w:rsidP="00FE5A58">
            <w:pPr>
              <w:tabs>
                <w:tab w:val="left" w:pos="1155"/>
              </w:tabs>
              <w:jc w:val="both"/>
              <w:rPr>
                <w:lang w:val="ro-RO"/>
              </w:rPr>
            </w:pPr>
            <w:r>
              <w:rPr>
                <w:lang w:val="ro-RO"/>
              </w:rPr>
              <w:t>Totodată, a</w:t>
            </w:r>
            <w:r w:rsidR="00FE5A58" w:rsidRPr="00FE5A58">
              <w:rPr>
                <w:lang w:val="ro-RO"/>
              </w:rPr>
              <w:t xml:space="preserve"> fost eliminată acordarea unei indemnizații pentru titlul de doctor, acesta fiind luat în calcul la stabilirea coeficienților pentru personalul din învățământ, unde, prin natura funcțiilor,  este necesară deținerea titlului de doctor. </w:t>
            </w:r>
          </w:p>
          <w:p w14:paraId="5AED2D17" w14:textId="77777777" w:rsidR="00FE5A58" w:rsidRPr="00FE5A58" w:rsidRDefault="00FE5A58" w:rsidP="00FE5A58">
            <w:pPr>
              <w:tabs>
                <w:tab w:val="left" w:pos="1155"/>
              </w:tabs>
              <w:jc w:val="both"/>
              <w:rPr>
                <w:lang w:val="ro-RO"/>
              </w:rPr>
            </w:pPr>
            <w:r w:rsidRPr="00FE5A58">
              <w:rPr>
                <w:lang w:val="ro-RO"/>
              </w:rPr>
              <w:t>Referitor la sporuri, proiectul de lege prevede următoarele:</w:t>
            </w:r>
          </w:p>
          <w:p w14:paraId="57E7C497" w14:textId="1EB02A6B" w:rsidR="00FE5A58" w:rsidRPr="00FE5A58" w:rsidRDefault="00FE5A58" w:rsidP="00590C4E">
            <w:pPr>
              <w:jc w:val="both"/>
              <w:rPr>
                <w:lang w:val="ro-RO"/>
              </w:rPr>
            </w:pPr>
            <w:r w:rsidRPr="00FE5A58">
              <w:rPr>
                <w:lang w:val="ro-RO"/>
              </w:rPr>
              <w:t xml:space="preserve">•Limitarea sporurilor  în acord cu prevederile din CID - "Suma sporurilor, primelor, premiilor </w:t>
            </w:r>
            <w:proofErr w:type="spellStart"/>
            <w:r w:rsidRPr="00FE5A58">
              <w:rPr>
                <w:lang w:val="ro-RO"/>
              </w:rPr>
              <w:t>şi</w:t>
            </w:r>
            <w:proofErr w:type="spellEnd"/>
            <w:r w:rsidRPr="00FE5A58">
              <w:rPr>
                <w:lang w:val="ro-RO"/>
              </w:rPr>
              <w:t xml:space="preserve"> indemniza</w:t>
            </w:r>
            <w:r w:rsidR="005318E4">
              <w:rPr>
                <w:lang w:val="ro-RO"/>
              </w:rPr>
              <w:t>ț</w:t>
            </w:r>
            <w:r w:rsidRPr="00FE5A58">
              <w:rPr>
                <w:lang w:val="ro-RO"/>
              </w:rPr>
              <w:t>iilor nu poate depă</w:t>
            </w:r>
            <w:r w:rsidR="005318E4">
              <w:rPr>
                <w:lang w:val="ro-RO"/>
              </w:rPr>
              <w:t>ș</w:t>
            </w:r>
            <w:r w:rsidRPr="00FE5A58">
              <w:rPr>
                <w:lang w:val="ro-RO"/>
              </w:rPr>
              <w:t xml:space="preserve">i 20% din suma salariilor de bază, a soldelor de </w:t>
            </w:r>
            <w:proofErr w:type="spellStart"/>
            <w:r w:rsidRPr="00FE5A58">
              <w:rPr>
                <w:lang w:val="ro-RO"/>
              </w:rPr>
              <w:t>funcţie</w:t>
            </w:r>
            <w:proofErr w:type="spellEnd"/>
            <w:r w:rsidRPr="00FE5A58">
              <w:rPr>
                <w:lang w:val="ro-RO"/>
              </w:rPr>
              <w:t>/salariilor de func</w:t>
            </w:r>
            <w:r w:rsidR="005318E4">
              <w:rPr>
                <w:lang w:val="ro-RO"/>
              </w:rPr>
              <w:t>ț</w:t>
            </w:r>
            <w:r w:rsidRPr="00FE5A58">
              <w:rPr>
                <w:lang w:val="ro-RO"/>
              </w:rPr>
              <w:t>ie, a indemniza</w:t>
            </w:r>
            <w:r w:rsidR="005318E4">
              <w:rPr>
                <w:lang w:val="ro-RO"/>
              </w:rPr>
              <w:t>ț</w:t>
            </w:r>
            <w:r w:rsidRPr="00FE5A58">
              <w:rPr>
                <w:lang w:val="ro-RO"/>
              </w:rPr>
              <w:t xml:space="preserve">iilor de încadrare </w:t>
            </w:r>
            <w:r w:rsidR="005318E4">
              <w:rPr>
                <w:lang w:val="ro-RO"/>
              </w:rPr>
              <w:t>ș</w:t>
            </w:r>
            <w:r w:rsidRPr="00FE5A58">
              <w:rPr>
                <w:lang w:val="ro-RO"/>
              </w:rPr>
              <w:t>i a indemniza</w:t>
            </w:r>
            <w:r w:rsidR="005318E4">
              <w:rPr>
                <w:lang w:val="ro-RO"/>
              </w:rPr>
              <w:t>ț</w:t>
            </w:r>
            <w:r w:rsidRPr="00FE5A58">
              <w:rPr>
                <w:lang w:val="ro-RO"/>
              </w:rPr>
              <w:t>iilor lunare, după caz, pe ordonator principal de credite."</w:t>
            </w:r>
          </w:p>
          <w:p w14:paraId="716DAAA5" w14:textId="2ED9A344" w:rsidR="00FE5A58" w:rsidRPr="00FE5A58" w:rsidRDefault="00FE5A58" w:rsidP="00590C4E">
            <w:pPr>
              <w:jc w:val="both"/>
              <w:rPr>
                <w:lang w:val="ro-RO"/>
              </w:rPr>
            </w:pPr>
            <w:r w:rsidRPr="00FE5A58">
              <w:rPr>
                <w:lang w:val="ro-RO"/>
              </w:rPr>
              <w:t xml:space="preserve">•Partea variabilă a drepturilor salariale (elementele în afara salariului de bază- sporurile) a fost elaborată ținându-se cont de necesitățile reformei care presupune păstrarea sporurilor esențiale, asigurându-se astfel echitatea în sistemul public de salarizare. Astfel, revizuirea sistemului remunerației variabile este o componentă-cheie a reformei salarizării în sectorul public din România. Obiectivele principale ale acestui demers sunt de a asigura un tratament nediscriminatoriu în stabilirea sporurilor, de a corela performanța cu salariile și de a menține sustenabilitatea cheltuielilor de personal. </w:t>
            </w:r>
          </w:p>
          <w:p w14:paraId="17387B53" w14:textId="401A3278" w:rsidR="00FE5A58" w:rsidRPr="00FE5A58" w:rsidRDefault="00FE5A58" w:rsidP="00FE5A58">
            <w:pPr>
              <w:tabs>
                <w:tab w:val="left" w:pos="1155"/>
              </w:tabs>
              <w:jc w:val="both"/>
              <w:rPr>
                <w:lang w:val="ro-RO"/>
              </w:rPr>
            </w:pPr>
            <w:r w:rsidRPr="00FE5A58">
              <w:rPr>
                <w:lang w:val="ro-RO"/>
              </w:rPr>
              <w:t>•</w:t>
            </w:r>
            <w:r w:rsidR="00590C4E" w:rsidRPr="00EB2514">
              <w:rPr>
                <w:lang w:val="ro-RO"/>
              </w:rPr>
              <w:t>S</w:t>
            </w:r>
            <w:r w:rsidRPr="00EB2514">
              <w:rPr>
                <w:lang w:val="ro-RO"/>
              </w:rPr>
              <w:t>porul pentru persoanele cu handicap va fi acordat în cuantum de</w:t>
            </w:r>
            <w:r w:rsidR="00590C4E" w:rsidRPr="00EB2514">
              <w:rPr>
                <w:lang w:val="ro-RO"/>
              </w:rPr>
              <w:t xml:space="preserve"> 15</w:t>
            </w:r>
            <w:r w:rsidRPr="00EB2514">
              <w:rPr>
                <w:lang w:val="ro-RO"/>
              </w:rPr>
              <w:t>% din valoarea de referință</w:t>
            </w:r>
            <w:r w:rsidR="00EB2514" w:rsidRPr="00EB2514">
              <w:rPr>
                <w:lang w:val="ro-RO"/>
              </w:rPr>
              <w:t>.</w:t>
            </w:r>
          </w:p>
          <w:p w14:paraId="6CDFCA89" w14:textId="4F8C35D6" w:rsidR="00FE5A58" w:rsidRPr="00FE5A58" w:rsidRDefault="00FE5A58" w:rsidP="00FE5A58">
            <w:pPr>
              <w:tabs>
                <w:tab w:val="left" w:pos="1155"/>
              </w:tabs>
              <w:jc w:val="both"/>
              <w:rPr>
                <w:lang w:val="ro-RO"/>
              </w:rPr>
            </w:pPr>
            <w:r w:rsidRPr="00FE5A58">
              <w:rPr>
                <w:lang w:val="ro-RO"/>
              </w:rPr>
              <w:t>•Sporul de noapte și  sporul pentru munca suplimentară, care sunt prevăzute de Codul muncii și care se acordă tutu</w:t>
            </w:r>
            <w:r w:rsidR="005318E4">
              <w:rPr>
                <w:lang w:val="ro-RO"/>
              </w:rPr>
              <w:t>r</w:t>
            </w:r>
            <w:r w:rsidRPr="00FE5A58">
              <w:rPr>
                <w:lang w:val="ro-RO"/>
              </w:rPr>
              <w:t>or salariaților, sunt exceptate de la limita de 20% pe ordonator principal de credite.</w:t>
            </w:r>
          </w:p>
          <w:p w14:paraId="10C1B1C6" w14:textId="2A35D89F" w:rsidR="00EB2514" w:rsidRPr="00FE5A58" w:rsidRDefault="00FE5A58" w:rsidP="00EB2514">
            <w:pPr>
              <w:tabs>
                <w:tab w:val="left" w:pos="1155"/>
              </w:tabs>
              <w:jc w:val="both"/>
              <w:rPr>
                <w:lang w:val="ro-RO"/>
              </w:rPr>
            </w:pPr>
            <w:r w:rsidRPr="00FE5A58">
              <w:rPr>
                <w:lang w:val="ro-RO"/>
              </w:rPr>
              <w:t>•</w:t>
            </w:r>
            <w:r w:rsidR="00EB2514">
              <w:rPr>
                <w:lang w:val="ro-RO"/>
              </w:rPr>
              <w:t xml:space="preserve">a fost eliminată posibilitatea </w:t>
            </w:r>
            <w:r w:rsidR="005318E4">
              <w:rPr>
                <w:lang w:val="ro-RO"/>
              </w:rPr>
              <w:t>a</w:t>
            </w:r>
            <w:r w:rsidR="00EB2514">
              <w:rPr>
                <w:lang w:val="ro-RO"/>
              </w:rPr>
              <w:t>cordării s</w:t>
            </w:r>
            <w:r w:rsidRPr="00FE5A58">
              <w:rPr>
                <w:lang w:val="ro-RO"/>
              </w:rPr>
              <w:t>porul</w:t>
            </w:r>
            <w:r w:rsidR="00EB2514">
              <w:rPr>
                <w:lang w:val="ro-RO"/>
              </w:rPr>
              <w:t>ui</w:t>
            </w:r>
            <w:r w:rsidRPr="00FE5A58">
              <w:rPr>
                <w:lang w:val="ro-RO"/>
              </w:rPr>
              <w:t xml:space="preserve"> pentru condi</w:t>
            </w:r>
            <w:r w:rsidR="005318E4">
              <w:rPr>
                <w:lang w:val="ro-RO"/>
              </w:rPr>
              <w:t>ț</w:t>
            </w:r>
            <w:r w:rsidRPr="00FE5A58">
              <w:rPr>
                <w:lang w:val="ro-RO"/>
              </w:rPr>
              <w:t xml:space="preserve">ii periculoase sau vătămătoare </w:t>
            </w:r>
            <w:r w:rsidR="00EB2514">
              <w:rPr>
                <w:lang w:val="ro-RO"/>
              </w:rPr>
              <w:t xml:space="preserve"> prevăzută de actuala legislație privind salarizarea personalului plătit din fonduri publice</w:t>
            </w:r>
            <w:r w:rsidR="005318E4">
              <w:rPr>
                <w:lang w:val="ro-RO"/>
              </w:rPr>
              <w:t>, care, în prezent, este în cuantum de până la 300 lei brut</w:t>
            </w:r>
            <w:r w:rsidR="00EB2514">
              <w:rPr>
                <w:lang w:val="ro-RO"/>
              </w:rPr>
              <w:t xml:space="preserve">. </w:t>
            </w:r>
          </w:p>
          <w:p w14:paraId="557C1E3E" w14:textId="77777777" w:rsidR="00FE5A58" w:rsidRPr="00FE5A58" w:rsidRDefault="00FE5A58" w:rsidP="00FE5A58">
            <w:pPr>
              <w:tabs>
                <w:tab w:val="left" w:pos="1155"/>
              </w:tabs>
              <w:jc w:val="both"/>
              <w:rPr>
                <w:lang w:val="ro-RO"/>
              </w:rPr>
            </w:pPr>
            <w:r w:rsidRPr="00FE5A58">
              <w:rPr>
                <w:lang w:val="ro-RO"/>
              </w:rPr>
              <w:t>Proiectul de lege prevede acordarea unui premiu de performanță, lunar, personalului care a realizat sau a participat direct la obținerea unor rezultate deosebite în activitatea instituției. Premiile de performanță vor fi acordate în limita a 5% din cheltuielile cu salariile de bază, în baza criteriilor stabilite prin ordin al conducătorului instituției. Premiile de performanță pot fi acordate, anual, pentru cel mult 20% din numărul total de posturi aferente funcțiilor de execuție, respectiv pentru cel mult 30% din numărul total de posturi aferente funcțiilor de conducere, la nivel de instituție/autoritate publică. Valoarea sumelor acordate, lunar, unei persoane nu poate depăși 30% din salariul de bază individual și nu se ia în calcul la determinarea limitei de 20%  pe ordonator principal de credite.</w:t>
            </w:r>
          </w:p>
          <w:p w14:paraId="15A10A97" w14:textId="77777777" w:rsidR="00FE5A58" w:rsidRPr="00FE5A58" w:rsidRDefault="00FE5A58" w:rsidP="00FE5A58">
            <w:pPr>
              <w:tabs>
                <w:tab w:val="left" w:pos="1155"/>
              </w:tabs>
              <w:jc w:val="both"/>
              <w:rPr>
                <w:lang w:val="ro-RO"/>
              </w:rPr>
            </w:pPr>
            <w:r w:rsidRPr="00FE5A58">
              <w:rPr>
                <w:lang w:val="ro-RO"/>
              </w:rPr>
              <w:t>De asemenea, proiectul prevede transmiterea datelor privind veniturile salariale ale angajaților din sistemul public către MMFTSS, conform unei metodologii aprobate prin ordin al ministrului muncii. Nerespectarea acestei prevederi va fi sancționată cu amendă contravențională.</w:t>
            </w:r>
            <w:r w:rsidRPr="00FE5A58">
              <w:rPr>
                <w:lang w:val="it-IT"/>
              </w:rPr>
              <w:t xml:space="preserve"> Raportarea datelor  va reprezenta un </w:t>
            </w:r>
            <w:r w:rsidRPr="00FE5A58">
              <w:rPr>
                <w:lang w:val="ro-RO"/>
              </w:rPr>
              <w:t>instrument de transparență și control al salarizării bugetare  și va aduce un plus de rigoare și vizibilitate în gestionarea fondurilor publice, permițând monitorizarea atentă a cheltuielilor de personal și fundamentarea politicilor salariale pe date reale și complete.</w:t>
            </w:r>
          </w:p>
          <w:p w14:paraId="5E200311" w14:textId="77777777" w:rsidR="00FE5A58" w:rsidRDefault="00FE5A58" w:rsidP="00FE5A58">
            <w:pPr>
              <w:tabs>
                <w:tab w:val="left" w:pos="1155"/>
              </w:tabs>
              <w:jc w:val="both"/>
              <w:rPr>
                <w:lang w:val="ro-RO"/>
              </w:rPr>
            </w:pPr>
            <w:r w:rsidRPr="00FE5A58">
              <w:rPr>
                <w:lang w:val="ro-RO"/>
              </w:rPr>
              <w:t>În privința intrării în vigoare a legii, se prevede că actul normativ intră în vigoare la data de 1 iulie 2027, pentru toate categoriile de personal bugetar, precum și faptul că, la data intrării în vigoare valoarea de referință este de 4.325 lei.</w:t>
            </w:r>
          </w:p>
          <w:p w14:paraId="7173E9B3" w14:textId="77777777" w:rsidR="005318E4" w:rsidRPr="00FE5A58" w:rsidRDefault="005318E4" w:rsidP="00FE5A58">
            <w:pPr>
              <w:tabs>
                <w:tab w:val="left" w:pos="1155"/>
              </w:tabs>
              <w:jc w:val="both"/>
              <w:rPr>
                <w:lang w:val="ro-RO"/>
              </w:rPr>
            </w:pPr>
          </w:p>
          <w:p w14:paraId="0D229692" w14:textId="47560E50" w:rsidR="00FE5A58" w:rsidRPr="00FE5A58" w:rsidRDefault="00FE5A58" w:rsidP="00FE5A58">
            <w:pPr>
              <w:tabs>
                <w:tab w:val="left" w:pos="1155"/>
              </w:tabs>
              <w:jc w:val="both"/>
              <w:rPr>
                <w:b/>
                <w:bCs/>
                <w:lang w:val="ro-RO"/>
              </w:rPr>
            </w:pPr>
            <w:r w:rsidRPr="00FE5A58">
              <w:rPr>
                <w:b/>
                <w:bCs/>
                <w:lang w:val="ro-RO"/>
              </w:rPr>
              <w:t>Schimbări preconizate cu privire la salarizarea personalului din FAMILIA OCUPAŢIONALĂ DE FUNCŢII BUGETARE "ÎNVĂŢĂMÂNT"</w:t>
            </w:r>
          </w:p>
          <w:p w14:paraId="02F70807" w14:textId="77777777"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Proiectul de lege prevede creșteri ale salariului de bază pentru toate funcțiile din sistemul de învățământ.</w:t>
            </w:r>
          </w:p>
          <w:p w14:paraId="59FBB5BB" w14:textId="6BDDD68B"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 xml:space="preserve">Coeficienții au fost stabiliți conform celor prevăzute în </w:t>
            </w:r>
            <w:r w:rsidR="005318E4">
              <w:rPr>
                <w:lang w:val="ro-RO"/>
              </w:rPr>
              <w:t xml:space="preserve">ordonanța de urgență a </w:t>
            </w:r>
            <w:r w:rsidRPr="00FE5A58">
              <w:rPr>
                <w:lang w:val="ro-RO"/>
              </w:rPr>
              <w:t>G</w:t>
            </w:r>
            <w:r w:rsidR="005318E4">
              <w:rPr>
                <w:lang w:val="ro-RO"/>
              </w:rPr>
              <w:t>uvernului</w:t>
            </w:r>
            <w:r w:rsidRPr="00FE5A58">
              <w:rPr>
                <w:lang w:val="ro-RO"/>
              </w:rPr>
              <w:t xml:space="preserve"> nr.57/2023, respectiv salariul funcției de profesor debutant din preuniversitar este la </w:t>
            </w:r>
            <w:r w:rsidRPr="005318E4">
              <w:rPr>
                <w:lang w:val="ro-RO"/>
              </w:rPr>
              <w:t>23%</w:t>
            </w:r>
            <w:r w:rsidRPr="00FE5A58">
              <w:rPr>
                <w:lang w:val="ro-RO"/>
              </w:rPr>
              <w:t xml:space="preserve"> din indemnizația președintelui României. </w:t>
            </w:r>
          </w:p>
          <w:p w14:paraId="2877A1D3" w14:textId="65A74057"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 xml:space="preserve">De asemenea, s-au respectat proporțiile propuse între funcțiile de conducere și celelalte funcții, precum și echivalarea funcției de profesor din </w:t>
            </w:r>
            <w:r w:rsidR="00152A2A" w:rsidRPr="00FE5A58">
              <w:rPr>
                <w:lang w:val="ro-RO"/>
              </w:rPr>
              <w:t>învățământul</w:t>
            </w:r>
            <w:r w:rsidRPr="00FE5A58">
              <w:rPr>
                <w:lang w:val="ro-RO"/>
              </w:rPr>
              <w:t xml:space="preserve"> universitar cu funcția de medic specialist din unități clinice.</w:t>
            </w:r>
          </w:p>
          <w:p w14:paraId="1087F2CC" w14:textId="07FF481E"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Pentru personalul din învățământul universitar se reduce procentul de majorare a salariului de bază acordată din veniturile proprii de la 30% la 20%, diferența fiind avută în vedere la determinarea coeficienților pentru funcțiile respective</w:t>
            </w:r>
            <w:r w:rsidR="00787BCD">
              <w:rPr>
                <w:lang w:val="ro-RO"/>
              </w:rPr>
              <w:t>.</w:t>
            </w:r>
            <w:r w:rsidRPr="00FE5A58">
              <w:rPr>
                <w:lang w:val="ro-RO"/>
              </w:rPr>
              <w:t xml:space="preserve"> </w:t>
            </w:r>
          </w:p>
          <w:p w14:paraId="4A7A391A" w14:textId="72EE229C"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lastRenderedPageBreak/>
              <w:t>Funcția de secretar-șef universitate a fost repoziționată în noul proiect de lege astfel încât să fie respectat principiul ierarhizării funcțiilor, precum și concluziile evaluării posturilor din cadrul proiectului</w:t>
            </w:r>
            <w:r w:rsidR="00787BCD">
              <w:rPr>
                <w:lang w:val="ro-RO"/>
              </w:rPr>
              <w:t>.</w:t>
            </w:r>
          </w:p>
          <w:p w14:paraId="4DED6EBD" w14:textId="34B29FFA"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 xml:space="preserve">Partea variabilă a drepturilor salariale care se acordă acestei categorii de personal a fost elaborată ținându-se cont de necesitățile reformei care presupune păstrarea sporurilor esențiale, asigurându-se astfel echitatea în sistemul public de salarizare. </w:t>
            </w:r>
          </w:p>
          <w:p w14:paraId="28BE2FC3" w14:textId="77777777"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Gradația de merit și sporul de performanță academică au fost înlocuite cu premiul pentru stimularea performanței prevăzut de noua lege.</w:t>
            </w:r>
          </w:p>
          <w:p w14:paraId="233B2349" w14:textId="77777777"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 xml:space="preserve">Sporul de suprasolicitare neuropsihică a fost luat în calcul la determinarea coeficienților pentru funcțiile din învățământ. </w:t>
            </w:r>
          </w:p>
          <w:p w14:paraId="2EC55A06" w14:textId="43B0037A"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În proiectul de lege au fost păstrate funcțiile didactice auxiliare din Lege-cadru nr.153/2017, și nu cele introduse prin O.U.G. nr.128/2024, deoarece potrivit legii, se pot introduce funcții didactice auxiliare prin ordin comun al MEC și MMFTSS, iar funcțiile comune (cum sunt cele introduse prin O.U.G. nr.128/2024 ca funcții didactice auxiliare) se regăsesc în anexa Administrație. Acest principiu este aplicat pentru toate familiile ocupaționale.</w:t>
            </w:r>
          </w:p>
          <w:p w14:paraId="641B5BFD" w14:textId="6645692E"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Pentru personalul din cercetare, proiectul de lege prevede creșteri ale salariilor de bază având în vedere faptul că această categorie de personal bugetar nu a beneficiat, de-a lungul timpului, de majorări salariale adecvate pentru domeniul de activitate.</w:t>
            </w:r>
          </w:p>
          <w:p w14:paraId="08A4E184" w14:textId="77777777"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 xml:space="preserve">Au fost eliminate reglementările specifice personalului clerical care </w:t>
            </w:r>
            <w:proofErr w:type="spellStart"/>
            <w:r w:rsidRPr="00FE5A58">
              <w:rPr>
                <w:lang w:val="ro-RO"/>
              </w:rPr>
              <w:t>îşi</w:t>
            </w:r>
            <w:proofErr w:type="spellEnd"/>
            <w:r w:rsidRPr="00FE5A58">
              <w:rPr>
                <w:lang w:val="ro-RO"/>
              </w:rPr>
              <w:t xml:space="preserve"> </w:t>
            </w:r>
            <w:proofErr w:type="spellStart"/>
            <w:r w:rsidRPr="00FE5A58">
              <w:rPr>
                <w:lang w:val="ro-RO"/>
              </w:rPr>
              <w:t>desfăşoară</w:t>
            </w:r>
            <w:proofErr w:type="spellEnd"/>
            <w:r w:rsidRPr="00FE5A58">
              <w:rPr>
                <w:lang w:val="ro-RO"/>
              </w:rPr>
              <w:t xml:space="preserve"> activitatea în </w:t>
            </w:r>
            <w:proofErr w:type="spellStart"/>
            <w:r w:rsidRPr="00FE5A58">
              <w:rPr>
                <w:lang w:val="ro-RO"/>
              </w:rPr>
              <w:t>ţară</w:t>
            </w:r>
            <w:proofErr w:type="spellEnd"/>
            <w:r w:rsidRPr="00FE5A58">
              <w:rPr>
                <w:lang w:val="ro-RO"/>
              </w:rPr>
              <w:t>, în cadrul cultelor religioase din România, recunoscute potrivit legii, deoarece aceste reglementări nu reprezintă drepturi salariale pentru personalul bugetar și nu fac obiectul legii salarizării.</w:t>
            </w:r>
          </w:p>
          <w:p w14:paraId="386C27F2" w14:textId="77777777" w:rsidR="00FE5A58" w:rsidRPr="00FE5A58" w:rsidRDefault="00FE5A58" w:rsidP="00FE5A58">
            <w:pPr>
              <w:pStyle w:val="ListParagraph"/>
              <w:tabs>
                <w:tab w:val="left" w:pos="1155"/>
              </w:tabs>
              <w:jc w:val="both"/>
              <w:rPr>
                <w:lang w:val="ro-RO"/>
              </w:rPr>
            </w:pPr>
          </w:p>
          <w:p w14:paraId="28454216" w14:textId="77777777" w:rsidR="00FE5A58" w:rsidRPr="005318E4" w:rsidRDefault="00FE5A58" w:rsidP="00FE5A58">
            <w:pPr>
              <w:tabs>
                <w:tab w:val="left" w:pos="1155"/>
              </w:tabs>
              <w:jc w:val="both"/>
              <w:rPr>
                <w:b/>
                <w:bCs/>
                <w:lang w:val="ro-RO"/>
              </w:rPr>
            </w:pPr>
            <w:r w:rsidRPr="00FE5A58">
              <w:rPr>
                <w:b/>
                <w:bCs/>
                <w:lang w:val="ro-RO"/>
              </w:rPr>
              <w:t xml:space="preserve">Schimbări preconizate cu privire la salarizarea personalului din FAMILIA OCUPAŢIONALĂ DE FUNCŢII </w:t>
            </w:r>
            <w:r w:rsidRPr="005318E4">
              <w:rPr>
                <w:b/>
                <w:bCs/>
                <w:lang w:val="ro-RO"/>
              </w:rPr>
              <w:t>BUGETARE "SĂNĂTATE ȘI ASISTENȚĂ SOCIALĂ":</w:t>
            </w:r>
          </w:p>
          <w:p w14:paraId="0405114D" w14:textId="77777777" w:rsidR="00FE5A58" w:rsidRPr="005318E4" w:rsidRDefault="00FE5A58" w:rsidP="00C435B7">
            <w:pPr>
              <w:pStyle w:val="ListParagraph"/>
              <w:numPr>
                <w:ilvl w:val="0"/>
                <w:numId w:val="29"/>
              </w:numPr>
              <w:tabs>
                <w:tab w:val="left" w:pos="1155"/>
              </w:tabs>
              <w:spacing w:after="160" w:line="259" w:lineRule="auto"/>
              <w:contextualSpacing/>
              <w:jc w:val="both"/>
              <w:rPr>
                <w:lang w:val="ro-RO"/>
              </w:rPr>
            </w:pPr>
            <w:r w:rsidRPr="005318E4">
              <w:rPr>
                <w:lang w:val="ro-RO"/>
              </w:rPr>
              <w:t>Pentru personalul din sănătate, proiectul de lege propune combinarea celor 4 grile de salarizare existente în prezent, într-una singură. Nivelul coeficienților se stabilește prin ordin al ministrului sănătății, în funcție de</w:t>
            </w:r>
            <w:r w:rsidRPr="00FE5A58">
              <w:rPr>
                <w:lang w:val="ro-RO"/>
              </w:rPr>
              <w:t xml:space="preserve"> categoriile </w:t>
            </w:r>
            <w:proofErr w:type="spellStart"/>
            <w:r w:rsidRPr="00FE5A58">
              <w:rPr>
                <w:lang w:val="ro-RO"/>
              </w:rPr>
              <w:t>unitaților</w:t>
            </w:r>
            <w:proofErr w:type="spellEnd"/>
            <w:r w:rsidRPr="00FE5A58">
              <w:rPr>
                <w:lang w:val="ro-RO"/>
              </w:rPr>
              <w:t xml:space="preserve"> sanitare, subunităților sanitare și secțiilor din cadrul acestora, între limite: maximă coeficient </w:t>
            </w:r>
            <w:r w:rsidRPr="005318E4">
              <w:rPr>
                <w:lang w:val="ro-RO"/>
              </w:rPr>
              <w:t>majorat cu 10% și minimă coeficient diminuat cu 10%.</w:t>
            </w:r>
          </w:p>
          <w:p w14:paraId="51755924" w14:textId="77777777" w:rsidR="00FE5A58" w:rsidRPr="00FE5A58" w:rsidRDefault="00FE5A58" w:rsidP="00FE5A58">
            <w:pPr>
              <w:pStyle w:val="ListParagraph"/>
              <w:tabs>
                <w:tab w:val="left" w:pos="1155"/>
              </w:tabs>
              <w:jc w:val="both"/>
              <w:rPr>
                <w:lang w:val="ro-RO"/>
              </w:rPr>
            </w:pPr>
            <w:r w:rsidRPr="005318E4">
              <w:rPr>
                <w:lang w:val="ro-RO"/>
              </w:rPr>
              <w:t>Criteriile pentru așezarea fiecărei specialități/loc de muncă în interval trebuie propuse de către</w:t>
            </w:r>
            <w:r w:rsidRPr="00FE5A58">
              <w:rPr>
                <w:lang w:val="ro-RO"/>
              </w:rPr>
              <w:t xml:space="preserve"> MS, care vor include și criterii de diferențiere a salariului de bază în cadrul unei specialități, în funcție de volumul de activitate al salariatului.</w:t>
            </w:r>
          </w:p>
          <w:p w14:paraId="1DE98D53" w14:textId="44E7A2F8"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 xml:space="preserve">Au fost preluate propunerile Ministerului Sănătății privind acordarea sporurilor pentru personalul din sănătate. Sporurile pentru condiții de muncă au fost reduse la maxim </w:t>
            </w:r>
            <w:r w:rsidR="00787BCD">
              <w:rPr>
                <w:lang w:val="ro-RO"/>
              </w:rPr>
              <w:t>5</w:t>
            </w:r>
            <w:r w:rsidRPr="00FE5A58">
              <w:rPr>
                <w:lang w:val="ro-RO"/>
              </w:rPr>
              <w:t>0% din salariul de bază, față de până la 85% cât este în prezent, astfel:</w:t>
            </w:r>
          </w:p>
          <w:p w14:paraId="23DF7B6D" w14:textId="77777777" w:rsidR="00FE5A58" w:rsidRPr="00FE5A58" w:rsidRDefault="00FE5A58" w:rsidP="00FE5A58">
            <w:pPr>
              <w:tabs>
                <w:tab w:val="left" w:pos="1155"/>
              </w:tabs>
              <w:jc w:val="both"/>
              <w:rPr>
                <w:lang w:val="ro-RO"/>
              </w:rPr>
            </w:pPr>
            <w:r w:rsidRPr="00FE5A58">
              <w:rPr>
                <w:lang w:val="ro-RO"/>
              </w:rPr>
              <w:t xml:space="preserve">- pentru asigurarea </w:t>
            </w:r>
            <w:proofErr w:type="spellStart"/>
            <w:r w:rsidRPr="00FE5A58">
              <w:rPr>
                <w:lang w:val="ro-RO"/>
              </w:rPr>
              <w:t>continuităţii</w:t>
            </w:r>
            <w:proofErr w:type="spellEnd"/>
            <w:r w:rsidRPr="00FE5A58">
              <w:rPr>
                <w:lang w:val="ro-RO"/>
              </w:rPr>
              <w:t xml:space="preserve"> </w:t>
            </w:r>
            <w:proofErr w:type="spellStart"/>
            <w:r w:rsidRPr="00FE5A58">
              <w:rPr>
                <w:lang w:val="ro-RO"/>
              </w:rPr>
              <w:t>activităţii</w:t>
            </w:r>
            <w:proofErr w:type="spellEnd"/>
            <w:r w:rsidRPr="00FE5A58">
              <w:rPr>
                <w:lang w:val="ro-RO"/>
              </w:rPr>
              <w:t xml:space="preserve"> si pentru gărzile efectuate de personalul sanitar se  propune înlocuirea sporului de 100%, respectiv 75% din salariul de bază, cu un tarif orar cu 10% mai mare decât tariful orar al normei de bază,</w:t>
            </w:r>
          </w:p>
          <w:p w14:paraId="4F8EC902" w14:textId="77777777" w:rsidR="00FE5A58" w:rsidRPr="00FE5A58" w:rsidRDefault="00FE5A58" w:rsidP="00FE5A58">
            <w:pPr>
              <w:tabs>
                <w:tab w:val="left" w:pos="1155"/>
              </w:tabs>
              <w:jc w:val="both"/>
              <w:rPr>
                <w:lang w:val="ro-RO"/>
              </w:rPr>
            </w:pPr>
            <w:r w:rsidRPr="00FE5A58">
              <w:rPr>
                <w:lang w:val="ro-RO"/>
              </w:rPr>
              <w:t xml:space="preserve">- un spor de până la 15% din salariul de bază pentru neonatologie, săli de </w:t>
            </w:r>
            <w:proofErr w:type="spellStart"/>
            <w:r w:rsidRPr="00FE5A58">
              <w:rPr>
                <w:lang w:val="ro-RO"/>
              </w:rPr>
              <w:t>naştere</w:t>
            </w:r>
            <w:proofErr w:type="spellEnd"/>
            <w:r w:rsidRPr="00FE5A58">
              <w:rPr>
                <w:lang w:val="ro-RO"/>
              </w:rPr>
              <w:t xml:space="preserve"> </w:t>
            </w:r>
            <w:proofErr w:type="spellStart"/>
            <w:r w:rsidRPr="00FE5A58">
              <w:rPr>
                <w:lang w:val="ro-RO"/>
              </w:rPr>
              <w:t>şi</w:t>
            </w:r>
            <w:proofErr w:type="spellEnd"/>
            <w:r w:rsidRPr="00FE5A58">
              <w:rPr>
                <w:lang w:val="ro-RO"/>
              </w:rPr>
              <w:t xml:space="preserve"> din laboratoarele de analize medicale, față de 25% cât este în prezent,</w:t>
            </w:r>
          </w:p>
          <w:p w14:paraId="33C22559" w14:textId="77777777" w:rsidR="00FE5A58" w:rsidRPr="00FE5A58" w:rsidRDefault="00FE5A58" w:rsidP="00FE5A58">
            <w:pPr>
              <w:tabs>
                <w:tab w:val="left" w:pos="1155"/>
              </w:tabs>
              <w:jc w:val="both"/>
              <w:rPr>
                <w:lang w:val="ro-RO"/>
              </w:rPr>
            </w:pPr>
            <w:r w:rsidRPr="00FE5A58">
              <w:rPr>
                <w:lang w:val="ro-RO"/>
              </w:rPr>
              <w:t xml:space="preserve">Pentru </w:t>
            </w:r>
            <w:proofErr w:type="spellStart"/>
            <w:r w:rsidRPr="00FE5A58">
              <w:rPr>
                <w:lang w:val="ro-RO"/>
              </w:rPr>
              <w:t>condiţii</w:t>
            </w:r>
            <w:proofErr w:type="spellEnd"/>
            <w:r w:rsidRPr="00FE5A58">
              <w:rPr>
                <w:lang w:val="ro-RO"/>
              </w:rPr>
              <w:t xml:space="preserve"> deosebit de periculoase sunt prevăzute două niveluri, respectiv:</w:t>
            </w:r>
          </w:p>
          <w:p w14:paraId="3A1F9615" w14:textId="52BDE427" w:rsidR="00FE5A58" w:rsidRPr="00FE5A58" w:rsidRDefault="00FE5A58" w:rsidP="00FE5A58">
            <w:pPr>
              <w:tabs>
                <w:tab w:val="left" w:pos="1155"/>
              </w:tabs>
              <w:jc w:val="both"/>
              <w:rPr>
                <w:lang w:val="ro-RO"/>
              </w:rPr>
            </w:pPr>
            <w:r w:rsidRPr="00FE5A58">
              <w:rPr>
                <w:lang w:val="ro-RO"/>
              </w:rPr>
              <w:t xml:space="preserve"> - nivelul I: cuantumul sporului este de până la </w:t>
            </w:r>
            <w:r w:rsidR="00787BCD">
              <w:rPr>
                <w:lang w:val="ro-RO"/>
              </w:rPr>
              <w:t>40</w:t>
            </w:r>
            <w:r w:rsidRPr="00FE5A58">
              <w:rPr>
                <w:lang w:val="ro-RO"/>
              </w:rPr>
              <w:t>% din salariul de bază; iar pentru personalul nemedical/TESA din leprozerii, TBC, psihiatrie, boli infecțioase cuantumul sporului este de până la 2</w:t>
            </w:r>
            <w:r w:rsidR="00787BCD">
              <w:rPr>
                <w:lang w:val="ro-RO"/>
              </w:rPr>
              <w:t>0</w:t>
            </w:r>
            <w:r w:rsidRPr="00FE5A58">
              <w:rPr>
                <w:lang w:val="ro-RO"/>
              </w:rPr>
              <w:t>% din salariul de bază, față de până la 85% cât este în prezent,</w:t>
            </w:r>
          </w:p>
          <w:p w14:paraId="2DC65C9B" w14:textId="479A0BAE" w:rsidR="00FE5A58" w:rsidRPr="00FE5A58" w:rsidRDefault="00FE5A58" w:rsidP="00FE5A58">
            <w:pPr>
              <w:tabs>
                <w:tab w:val="left" w:pos="1155"/>
              </w:tabs>
              <w:jc w:val="both"/>
              <w:rPr>
                <w:lang w:val="ro-RO"/>
              </w:rPr>
            </w:pPr>
            <w:r w:rsidRPr="00FE5A58">
              <w:rPr>
                <w:lang w:val="ro-RO"/>
              </w:rPr>
              <w:t xml:space="preserve">- nivelul II: cuantumul sporului este de până la </w:t>
            </w:r>
            <w:r w:rsidR="00787BCD">
              <w:rPr>
                <w:lang w:val="ro-RO"/>
              </w:rPr>
              <w:t>5</w:t>
            </w:r>
            <w:r w:rsidRPr="00FE5A58">
              <w:rPr>
                <w:lang w:val="ro-RO"/>
              </w:rPr>
              <w:t>0% din salariul de bază, față de până la 85% cât este în prezent.</w:t>
            </w:r>
          </w:p>
          <w:p w14:paraId="2DDB6374" w14:textId="3DF4E4CD" w:rsidR="00FE5A58" w:rsidRPr="00FE5A58" w:rsidRDefault="00FE5A58" w:rsidP="00FE5A58">
            <w:pPr>
              <w:tabs>
                <w:tab w:val="left" w:pos="1155"/>
              </w:tabs>
              <w:jc w:val="both"/>
              <w:rPr>
                <w:lang w:val="ro-RO"/>
              </w:rPr>
            </w:pPr>
            <w:r w:rsidRPr="00FE5A58">
              <w:rPr>
                <w:lang w:val="ro-RO"/>
              </w:rPr>
              <w:t xml:space="preserve">- pentru </w:t>
            </w:r>
            <w:proofErr w:type="spellStart"/>
            <w:r w:rsidRPr="00FE5A58">
              <w:rPr>
                <w:lang w:val="ro-RO"/>
              </w:rPr>
              <w:t>condiţii</w:t>
            </w:r>
            <w:proofErr w:type="spellEnd"/>
            <w:r w:rsidRPr="00FE5A58">
              <w:rPr>
                <w:lang w:val="ro-RO"/>
              </w:rPr>
              <w:t xml:space="preserve"> grele de muncă, un spor de până la </w:t>
            </w:r>
            <w:r w:rsidR="00787BCD">
              <w:rPr>
                <w:lang w:val="ro-RO"/>
              </w:rPr>
              <w:t>5</w:t>
            </w:r>
            <w:r w:rsidRPr="00FE5A58">
              <w:rPr>
                <w:lang w:val="ro-RO"/>
              </w:rPr>
              <w:t>% din salariul de bază, față de 15% cât este prevăzut în prezent,</w:t>
            </w:r>
          </w:p>
          <w:p w14:paraId="54831502" w14:textId="7F257D61" w:rsidR="00FE5A58" w:rsidRPr="00FE5A58" w:rsidRDefault="00FE5A58" w:rsidP="00FE5A58">
            <w:pPr>
              <w:tabs>
                <w:tab w:val="left" w:pos="1155"/>
              </w:tabs>
              <w:jc w:val="both"/>
              <w:rPr>
                <w:lang w:val="ro-RO"/>
              </w:rPr>
            </w:pPr>
            <w:r w:rsidRPr="00FE5A58">
              <w:rPr>
                <w:lang w:val="ro-RO"/>
              </w:rPr>
              <w:t xml:space="preserve">-  pentru personalul care </w:t>
            </w:r>
            <w:proofErr w:type="spellStart"/>
            <w:r w:rsidRPr="00FE5A58">
              <w:rPr>
                <w:lang w:val="ro-RO"/>
              </w:rPr>
              <w:t>îşi</w:t>
            </w:r>
            <w:proofErr w:type="spellEnd"/>
            <w:r w:rsidRPr="00FE5A58">
              <w:rPr>
                <w:lang w:val="ro-RO"/>
              </w:rPr>
              <w:t xml:space="preserve"> </w:t>
            </w:r>
            <w:proofErr w:type="spellStart"/>
            <w:r w:rsidRPr="00FE5A58">
              <w:rPr>
                <w:lang w:val="ro-RO"/>
              </w:rPr>
              <w:t>desfăşoară</w:t>
            </w:r>
            <w:proofErr w:type="spellEnd"/>
            <w:r w:rsidRPr="00FE5A58">
              <w:rPr>
                <w:lang w:val="ro-RO"/>
              </w:rPr>
              <w:t xml:space="preserve"> activitatea cu surse de </w:t>
            </w:r>
            <w:proofErr w:type="spellStart"/>
            <w:r w:rsidRPr="00FE5A58">
              <w:rPr>
                <w:lang w:val="ro-RO"/>
              </w:rPr>
              <w:t>radiaţii</w:t>
            </w:r>
            <w:proofErr w:type="spellEnd"/>
            <w:r w:rsidRPr="00FE5A58">
              <w:rPr>
                <w:lang w:val="ro-RO"/>
              </w:rPr>
              <w:t xml:space="preserve"> sau generatoare de </w:t>
            </w:r>
            <w:proofErr w:type="spellStart"/>
            <w:r w:rsidRPr="00FE5A58">
              <w:rPr>
                <w:lang w:val="ro-RO"/>
              </w:rPr>
              <w:t>radiaţii</w:t>
            </w:r>
            <w:proofErr w:type="spellEnd"/>
            <w:r w:rsidRPr="00FE5A58">
              <w:rPr>
                <w:lang w:val="ro-RO"/>
              </w:rPr>
              <w:t xml:space="preserve">, un spor pentru </w:t>
            </w:r>
            <w:proofErr w:type="spellStart"/>
            <w:r w:rsidRPr="00FE5A58">
              <w:rPr>
                <w:lang w:val="ro-RO"/>
              </w:rPr>
              <w:t>condiţii</w:t>
            </w:r>
            <w:proofErr w:type="spellEnd"/>
            <w:r w:rsidRPr="00FE5A58">
              <w:rPr>
                <w:lang w:val="ro-RO"/>
              </w:rPr>
              <w:t xml:space="preserve"> periculoase de până la </w:t>
            </w:r>
            <w:r w:rsidR="00787BCD">
              <w:rPr>
                <w:lang w:val="ro-RO"/>
              </w:rPr>
              <w:t>1</w:t>
            </w:r>
            <w:r w:rsidRPr="00FE5A58">
              <w:rPr>
                <w:lang w:val="ro-RO"/>
              </w:rPr>
              <w:t>0% din salariul de bază, față de până la 30% cât este în prezent</w:t>
            </w:r>
          </w:p>
          <w:p w14:paraId="2FBA6EAF" w14:textId="25726C86" w:rsidR="00FE5A58" w:rsidRPr="00FE5A58" w:rsidRDefault="00FE5A58" w:rsidP="00FE5A58">
            <w:pPr>
              <w:tabs>
                <w:tab w:val="left" w:pos="1155"/>
              </w:tabs>
              <w:jc w:val="both"/>
              <w:rPr>
                <w:lang w:val="ro-RO"/>
              </w:rPr>
            </w:pPr>
            <w:r w:rsidRPr="00FE5A58">
              <w:rPr>
                <w:lang w:val="ro-RO"/>
              </w:rPr>
              <w:lastRenderedPageBreak/>
              <w:t xml:space="preserve">- eliminarea sporului </w:t>
            </w:r>
            <w:r w:rsidR="00787BCD">
              <w:rPr>
                <w:lang w:val="ro-RO"/>
              </w:rPr>
              <w:t>d</w:t>
            </w:r>
            <w:r w:rsidR="00787BCD" w:rsidRPr="00FE5A58">
              <w:rPr>
                <w:lang w:val="ro-RO"/>
              </w:rPr>
              <w:t>e până la 10% din salariul de bază, față de 15% cât este prevăzut în prezent</w:t>
            </w:r>
            <w:r w:rsidR="00787BCD">
              <w:rPr>
                <w:lang w:val="ro-RO"/>
              </w:rPr>
              <w:t xml:space="preserve">, </w:t>
            </w:r>
            <w:r w:rsidRPr="00FE5A58">
              <w:rPr>
                <w:lang w:val="ro-RO"/>
              </w:rPr>
              <w:t xml:space="preserve"> </w:t>
            </w:r>
            <w:r w:rsidR="00787BCD" w:rsidRPr="00FE5A58">
              <w:rPr>
                <w:lang w:val="ro-RO"/>
              </w:rPr>
              <w:t xml:space="preserve"> pentru </w:t>
            </w:r>
            <w:proofErr w:type="spellStart"/>
            <w:r w:rsidR="00787BCD" w:rsidRPr="00FE5A58">
              <w:rPr>
                <w:lang w:val="ro-RO"/>
              </w:rPr>
              <w:t>unităţile</w:t>
            </w:r>
            <w:proofErr w:type="spellEnd"/>
            <w:r w:rsidR="00787BCD" w:rsidRPr="00FE5A58">
              <w:rPr>
                <w:lang w:val="ro-RO"/>
              </w:rPr>
              <w:t xml:space="preserve"> sanitare cu specific deosebit, </w:t>
            </w:r>
            <w:r w:rsidR="00787BCD">
              <w:rPr>
                <w:lang w:val="ro-RO"/>
              </w:rPr>
              <w:t xml:space="preserve">precum și a </w:t>
            </w:r>
            <w:r w:rsidR="00787BCD" w:rsidRPr="00FE5A58">
              <w:rPr>
                <w:lang w:val="ro-RO"/>
              </w:rPr>
              <w:t>spor</w:t>
            </w:r>
            <w:r w:rsidR="00787BCD">
              <w:rPr>
                <w:lang w:val="ro-RO"/>
              </w:rPr>
              <w:t xml:space="preserve">ului </w:t>
            </w:r>
            <w:r w:rsidR="00787BCD" w:rsidRPr="00FE5A58">
              <w:rPr>
                <w:lang w:val="ro-RO"/>
              </w:rPr>
              <w:t>d</w:t>
            </w:r>
            <w:r w:rsidR="00787BCD">
              <w:rPr>
                <w:lang w:val="ro-RO"/>
              </w:rPr>
              <w:t xml:space="preserve">e </w:t>
            </w:r>
            <w:r w:rsidRPr="00FE5A58">
              <w:rPr>
                <w:lang w:val="ro-RO"/>
              </w:rPr>
              <w:t xml:space="preserve">până la 15% din salariul de bază, pentru </w:t>
            </w:r>
            <w:proofErr w:type="spellStart"/>
            <w:r w:rsidRPr="00FE5A58">
              <w:rPr>
                <w:lang w:val="ro-RO"/>
              </w:rPr>
              <w:t>activităţi</w:t>
            </w:r>
            <w:proofErr w:type="spellEnd"/>
            <w:r w:rsidRPr="00FE5A58">
              <w:rPr>
                <w:lang w:val="ro-RO"/>
              </w:rPr>
              <w:t xml:space="preserve"> care se </w:t>
            </w:r>
            <w:proofErr w:type="spellStart"/>
            <w:r w:rsidRPr="00FE5A58">
              <w:rPr>
                <w:lang w:val="ro-RO"/>
              </w:rPr>
              <w:t>desfăşoară</w:t>
            </w:r>
            <w:proofErr w:type="spellEnd"/>
            <w:r w:rsidRPr="00FE5A58">
              <w:rPr>
                <w:lang w:val="ro-RO"/>
              </w:rPr>
              <w:t xml:space="preserve"> în </w:t>
            </w:r>
            <w:proofErr w:type="spellStart"/>
            <w:r w:rsidRPr="00FE5A58">
              <w:rPr>
                <w:lang w:val="ro-RO"/>
              </w:rPr>
              <w:t>condiţii</w:t>
            </w:r>
            <w:proofErr w:type="spellEnd"/>
            <w:r w:rsidRPr="00FE5A58">
              <w:rPr>
                <w:lang w:val="ro-RO"/>
              </w:rPr>
              <w:t xml:space="preserve"> deosebite, cum ar fi stres sau risc.</w:t>
            </w:r>
          </w:p>
          <w:p w14:paraId="1E350166" w14:textId="0F026E4D"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 xml:space="preserve">Pentru personalul din asistență socială, sporurile pentru condiții de muncă au fost reduse la maxim </w:t>
            </w:r>
            <w:r w:rsidR="00445375">
              <w:rPr>
                <w:lang w:val="ro-RO"/>
              </w:rPr>
              <w:t>4</w:t>
            </w:r>
            <w:r w:rsidRPr="00FE5A58">
              <w:rPr>
                <w:lang w:val="ro-RO"/>
              </w:rPr>
              <w:t>0% din salariul de bază, față de până la 75% cât este în prezent, conform prevederilor din CID. Cuantumul sporurilor a fost corelat cu nivelul stabilit pentru  personalul din domeniul sănătății.</w:t>
            </w:r>
          </w:p>
          <w:p w14:paraId="3613F0CD" w14:textId="77777777" w:rsidR="00FE5A58" w:rsidRPr="00FE5A58" w:rsidRDefault="00FE5A58" w:rsidP="00FE5A58">
            <w:pPr>
              <w:tabs>
                <w:tab w:val="left" w:pos="1155"/>
              </w:tabs>
              <w:jc w:val="both"/>
              <w:rPr>
                <w:b/>
                <w:bCs/>
                <w:lang w:val="ro-RO"/>
              </w:rPr>
            </w:pPr>
            <w:r w:rsidRPr="00FE5A58">
              <w:rPr>
                <w:b/>
                <w:bCs/>
                <w:lang w:val="ro-RO"/>
              </w:rPr>
              <w:t>Schimbări preconizate cu privire la salarizarea personalului din FAMILIA OCUPAŢIONALĂ DE FUNCŢII BUGETARE "CULTURĂ":</w:t>
            </w:r>
          </w:p>
          <w:p w14:paraId="3609B520" w14:textId="77777777" w:rsidR="00FE5A58" w:rsidRPr="00FE5A58" w:rsidRDefault="00FE5A58" w:rsidP="00C435B7">
            <w:pPr>
              <w:pStyle w:val="ListParagraph"/>
              <w:numPr>
                <w:ilvl w:val="0"/>
                <w:numId w:val="29"/>
              </w:numPr>
              <w:tabs>
                <w:tab w:val="left" w:pos="1155"/>
              </w:tabs>
              <w:spacing w:after="160" w:line="259" w:lineRule="auto"/>
              <w:contextualSpacing/>
              <w:jc w:val="both"/>
              <w:rPr>
                <w:lang w:val="ro-RO"/>
              </w:rPr>
            </w:pPr>
            <w:r w:rsidRPr="00FE5A58">
              <w:rPr>
                <w:lang w:val="ro-RO"/>
              </w:rPr>
              <w:t>Personalul din domeniul culturii va beneficia de creșteri adecvate ale salariilor de bază prin noul proiect, având în vedere faptul că această categorie de personal nu a beneficiat de același ritm de creștere salarială în anii anteriori, precum alte categorii din sistemul public.</w:t>
            </w:r>
          </w:p>
          <w:p w14:paraId="27A5637A" w14:textId="62ECB085" w:rsidR="00FE5A58" w:rsidRPr="00445375" w:rsidRDefault="00FE5A58" w:rsidP="00C435B7">
            <w:pPr>
              <w:pStyle w:val="ListParagraph"/>
              <w:numPr>
                <w:ilvl w:val="0"/>
                <w:numId w:val="29"/>
              </w:numPr>
              <w:tabs>
                <w:tab w:val="left" w:pos="1155"/>
              </w:tabs>
              <w:spacing w:after="160" w:line="259" w:lineRule="auto"/>
              <w:contextualSpacing/>
              <w:jc w:val="both"/>
              <w:rPr>
                <w:lang w:val="ro-RO"/>
              </w:rPr>
            </w:pPr>
            <w:r w:rsidRPr="00445375">
              <w:rPr>
                <w:lang w:val="ro-RO"/>
              </w:rPr>
              <w:t xml:space="preserve"> Referitor la sporurile de care beneficiază personalul din cultură, acestea sunt aliniate în ceea ce privește condițiile de acordate și cuantumul lor, cu cele acordate pentru celelalte familii bugetare</w:t>
            </w:r>
            <w:r w:rsidR="00445375" w:rsidRPr="00445375">
              <w:rPr>
                <w:lang w:val="ro-RO"/>
              </w:rPr>
              <w:t xml:space="preserve">, </w:t>
            </w:r>
            <w:r w:rsidRPr="00445375">
              <w:rPr>
                <w:lang w:val="ro-RO"/>
              </w:rPr>
              <w:t xml:space="preserve">sporul pentru </w:t>
            </w:r>
            <w:proofErr w:type="spellStart"/>
            <w:r w:rsidRPr="00445375">
              <w:rPr>
                <w:lang w:val="ro-RO"/>
              </w:rPr>
              <w:t>condiţii</w:t>
            </w:r>
            <w:proofErr w:type="spellEnd"/>
            <w:r w:rsidRPr="00445375">
              <w:rPr>
                <w:lang w:val="ro-RO"/>
              </w:rPr>
              <w:t xml:space="preserve"> grele de muncă a fost redus la până la </w:t>
            </w:r>
            <w:r w:rsidR="00445375">
              <w:rPr>
                <w:lang w:val="ro-RO"/>
              </w:rPr>
              <w:t>5</w:t>
            </w:r>
            <w:r w:rsidRPr="00445375">
              <w:rPr>
                <w:lang w:val="ro-RO"/>
              </w:rPr>
              <w:t>% din salariul de bază, corespunzător timpului lucrat la locurile respective de muncă</w:t>
            </w:r>
            <w:r w:rsidR="00445375">
              <w:rPr>
                <w:lang w:val="ro-RO"/>
              </w:rPr>
              <w:t>,</w:t>
            </w:r>
            <w:r w:rsidR="00445375" w:rsidRPr="00FE5A58">
              <w:rPr>
                <w:lang w:val="ro-RO"/>
              </w:rPr>
              <w:t xml:space="preserve"> față de până la </w:t>
            </w:r>
            <w:r w:rsidR="00445375">
              <w:rPr>
                <w:lang w:val="ro-RO"/>
              </w:rPr>
              <w:t>1</w:t>
            </w:r>
            <w:r w:rsidR="00445375" w:rsidRPr="00FE5A58">
              <w:rPr>
                <w:lang w:val="ro-RO"/>
              </w:rPr>
              <w:t>5% cât este în prezent</w:t>
            </w:r>
            <w:r w:rsidRPr="00445375">
              <w:rPr>
                <w:lang w:val="ro-RO"/>
              </w:rPr>
              <w:t>.</w:t>
            </w:r>
          </w:p>
          <w:p w14:paraId="0EE61112" w14:textId="77777777" w:rsidR="00FE5A58" w:rsidRPr="00FE5A58" w:rsidRDefault="00FE5A58" w:rsidP="00FE5A58">
            <w:pPr>
              <w:pStyle w:val="ListParagraph"/>
              <w:tabs>
                <w:tab w:val="left" w:pos="1155"/>
              </w:tabs>
              <w:jc w:val="both"/>
              <w:rPr>
                <w:lang w:val="ro-RO"/>
              </w:rPr>
            </w:pPr>
          </w:p>
          <w:p w14:paraId="2B299989" w14:textId="77777777" w:rsidR="00FE5A58" w:rsidRPr="00FE5A58" w:rsidRDefault="00FE5A58" w:rsidP="00FE5A58">
            <w:pPr>
              <w:jc w:val="both"/>
              <w:rPr>
                <w:b/>
                <w:bCs/>
                <w:lang w:val="ro-RO"/>
              </w:rPr>
            </w:pPr>
            <w:r w:rsidRPr="00FE5A58">
              <w:rPr>
                <w:b/>
                <w:bCs/>
                <w:lang w:val="ro-RO"/>
              </w:rPr>
              <w:t>Schimbări preconizate cu privire la salarizarea personalului din FAMILIA OCUPAŢIONALĂ DE FUNCŢII BUGETARE "DIPLOMAȚIE ":</w:t>
            </w:r>
          </w:p>
          <w:p w14:paraId="75F3E6DF" w14:textId="7BCE6C40"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Personalul din diplomație va beneficia, prin noul proiect, de creșteri ale salariilor de bază.</w:t>
            </w:r>
          </w:p>
          <w:p w14:paraId="1585A79E" w14:textId="77777777" w:rsidR="00537FD2" w:rsidRDefault="00FE5A58" w:rsidP="00C435B7">
            <w:pPr>
              <w:pStyle w:val="ListParagraph"/>
              <w:numPr>
                <w:ilvl w:val="0"/>
                <w:numId w:val="29"/>
              </w:numPr>
              <w:spacing w:after="160" w:line="259" w:lineRule="auto"/>
              <w:contextualSpacing/>
              <w:jc w:val="both"/>
              <w:rPr>
                <w:lang w:val="ro-RO"/>
              </w:rPr>
            </w:pPr>
            <w:r w:rsidRPr="00FE5A58">
              <w:rPr>
                <w:lang w:val="ro-RO"/>
              </w:rPr>
              <w:t xml:space="preserve">Au fost identificate o serie de drepturi acordate personalului diplomatic care nu fac obiectul legii salarizării și care </w:t>
            </w:r>
            <w:r w:rsidRPr="00537FD2">
              <w:rPr>
                <w:lang w:val="ro-RO"/>
              </w:rPr>
              <w:t>au fost eliminate</w:t>
            </w:r>
            <w:r w:rsidRPr="00FE5A58">
              <w:rPr>
                <w:lang w:val="ro-RO"/>
              </w:rPr>
              <w:t xml:space="preserve"> din proiect</w:t>
            </w:r>
            <w:r w:rsidR="00537FD2">
              <w:rPr>
                <w:lang w:val="ro-RO"/>
              </w:rPr>
              <w:t>.</w:t>
            </w:r>
          </w:p>
          <w:p w14:paraId="1893FAFE" w14:textId="6F07682D" w:rsidR="00FE5A58" w:rsidRPr="00537FD2" w:rsidRDefault="00FE5A58" w:rsidP="00C435B7">
            <w:pPr>
              <w:pStyle w:val="ListParagraph"/>
              <w:numPr>
                <w:ilvl w:val="0"/>
                <w:numId w:val="29"/>
              </w:numPr>
              <w:spacing w:after="160" w:line="259" w:lineRule="auto"/>
              <w:contextualSpacing/>
              <w:jc w:val="both"/>
              <w:rPr>
                <w:lang w:val="ro-RO"/>
              </w:rPr>
            </w:pPr>
            <w:r w:rsidRPr="00537FD2">
              <w:rPr>
                <w:lang w:val="ro-RO"/>
              </w:rPr>
              <w:t>Indemnizați</w:t>
            </w:r>
            <w:r w:rsidR="00537FD2">
              <w:rPr>
                <w:lang w:val="ro-RO"/>
              </w:rPr>
              <w:t>a</w:t>
            </w:r>
            <w:r w:rsidRPr="00537FD2">
              <w:rPr>
                <w:lang w:val="ro-RO"/>
              </w:rPr>
              <w:t xml:space="preserve"> pentru cifrul de stat a fost </w:t>
            </w:r>
            <w:r w:rsidR="00537FD2">
              <w:rPr>
                <w:lang w:val="ro-RO"/>
              </w:rPr>
              <w:t xml:space="preserve">eliminată din proiect, aceasta fiind </w:t>
            </w:r>
            <w:r w:rsidRPr="00537FD2">
              <w:rPr>
                <w:lang w:val="ro-RO"/>
              </w:rPr>
              <w:t>luată în calcul la determinarea coeficienților pentru funcțiile din diplomație.</w:t>
            </w:r>
          </w:p>
          <w:p w14:paraId="0010A304" w14:textId="77777777" w:rsidR="00FE5A58" w:rsidRPr="00FE5A58" w:rsidRDefault="00FE5A58" w:rsidP="00FE5A58">
            <w:pPr>
              <w:jc w:val="both"/>
              <w:rPr>
                <w:b/>
                <w:bCs/>
                <w:lang w:val="ro-RO"/>
              </w:rPr>
            </w:pPr>
            <w:r w:rsidRPr="00FE5A58">
              <w:rPr>
                <w:b/>
                <w:bCs/>
                <w:lang w:val="ro-RO"/>
              </w:rPr>
              <w:t>Schimbări preconizate cu privire la salarizarea personalului din FAMILIA OCUPAŢIONALĂ DE FUNCŢII BUGETARE "</w:t>
            </w:r>
            <w:r w:rsidRPr="00FE5A58">
              <w:rPr>
                <w:lang w:val="it-IT"/>
              </w:rPr>
              <w:t xml:space="preserve"> </w:t>
            </w:r>
            <w:r w:rsidRPr="00FE5A58">
              <w:rPr>
                <w:b/>
                <w:bCs/>
                <w:lang w:val="ro-RO"/>
              </w:rPr>
              <w:t>JUSTIȚIE" ȘI CURTEA CONSTITUTIONALĂ:</w:t>
            </w:r>
          </w:p>
          <w:p w14:paraId="194A8189" w14:textId="77777777"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 xml:space="preserve">Personalul din justiție beneficiază în prezent de salarii de bază/indemnizații de încadrare în plată mai mari decât cele prevăzute de lege, ca urmare a aplicării modului de calcul prevăzut de legislația anterioară Legii cadru nr.153/2017. </w:t>
            </w:r>
          </w:p>
          <w:p w14:paraId="5A581745" w14:textId="6AD9A50D"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 xml:space="preserve">Coeficienții </w:t>
            </w:r>
            <w:r w:rsidR="00C435B7">
              <w:rPr>
                <w:lang w:val="ro-RO"/>
              </w:rPr>
              <w:t xml:space="preserve">de salarizare </w:t>
            </w:r>
            <w:r w:rsidRPr="00FE5A58">
              <w:rPr>
                <w:lang w:val="ro-RO"/>
              </w:rPr>
              <w:t xml:space="preserve">propuși în proiect respectă principiul ierarhizării, astfel încât niciun salariu de bază/indemnizație de încadrare să nu depășească salariul Președintelui României. </w:t>
            </w:r>
          </w:p>
          <w:p w14:paraId="095F992D" w14:textId="77777777"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 xml:space="preserve">Au fost eliminate sporul pentru păstrarea confidențialității de până la 5% și sporul pentru risc și suprasolicitare neuropsihică de până la 25%, având în vedere următoarele: </w:t>
            </w:r>
          </w:p>
          <w:p w14:paraId="338404CD" w14:textId="51A9019C" w:rsidR="00FE5A58" w:rsidRPr="00FE5A58" w:rsidRDefault="00C435B7" w:rsidP="00C435B7">
            <w:pPr>
              <w:pStyle w:val="ListParagraph"/>
              <w:numPr>
                <w:ilvl w:val="0"/>
                <w:numId w:val="29"/>
              </w:numPr>
              <w:spacing w:after="160" w:line="259" w:lineRule="auto"/>
              <w:contextualSpacing/>
              <w:jc w:val="both"/>
              <w:rPr>
                <w:lang w:val="ro-RO"/>
              </w:rPr>
            </w:pPr>
            <w:proofErr w:type="spellStart"/>
            <w:r>
              <w:rPr>
                <w:lang w:val="ro-RO"/>
              </w:rPr>
              <w:t>c</w:t>
            </w:r>
            <w:r w:rsidR="00FE5A58" w:rsidRPr="00FE5A58">
              <w:rPr>
                <w:lang w:val="ro-RO"/>
              </w:rPr>
              <w:t>onfidentialitatea</w:t>
            </w:r>
            <w:proofErr w:type="spellEnd"/>
            <w:r w:rsidR="00FE5A58" w:rsidRPr="00FE5A58">
              <w:rPr>
                <w:lang w:val="ro-RO"/>
              </w:rPr>
              <w:t xml:space="preserve"> este o obligație inerentă funcției deținute, sporul fiind acordat exclusiv personalului din justiție, deși această obligație se aplică tuturor categoriilor de personal. </w:t>
            </w:r>
          </w:p>
          <w:p w14:paraId="6AB90D51" w14:textId="7A516E63" w:rsidR="00FE5A58" w:rsidRPr="00FE5A58" w:rsidRDefault="00C435B7" w:rsidP="00C435B7">
            <w:pPr>
              <w:pStyle w:val="ListParagraph"/>
              <w:numPr>
                <w:ilvl w:val="0"/>
                <w:numId w:val="29"/>
              </w:numPr>
              <w:spacing w:after="160" w:line="259" w:lineRule="auto"/>
              <w:contextualSpacing/>
              <w:jc w:val="both"/>
              <w:rPr>
                <w:lang w:val="ro-RO"/>
              </w:rPr>
            </w:pPr>
            <w:r>
              <w:rPr>
                <w:lang w:val="ro-RO"/>
              </w:rPr>
              <w:t>s</w:t>
            </w:r>
            <w:r w:rsidR="00FE5A58" w:rsidRPr="00FE5A58">
              <w:rPr>
                <w:lang w:val="ro-RO"/>
              </w:rPr>
              <w:t>porul pentru risc și suprasolicitare neuropsihică a fost eliminat pentru toate categoriile de personal bugetar.</w:t>
            </w:r>
          </w:p>
          <w:p w14:paraId="472B3E6D" w14:textId="77777777" w:rsidR="00FE5A58" w:rsidRPr="00FE5A58" w:rsidRDefault="00FE5A58" w:rsidP="00FE5A58">
            <w:pPr>
              <w:rPr>
                <w:highlight w:val="yellow"/>
                <w:lang w:val="ro-RO"/>
              </w:rPr>
            </w:pPr>
          </w:p>
          <w:p w14:paraId="6106B62F" w14:textId="77777777" w:rsidR="00FE5A58" w:rsidRPr="00FE5A58" w:rsidRDefault="00FE5A58" w:rsidP="00FE5A58">
            <w:pPr>
              <w:jc w:val="both"/>
              <w:rPr>
                <w:b/>
                <w:bCs/>
                <w:lang w:val="ro-RO"/>
              </w:rPr>
            </w:pPr>
            <w:r w:rsidRPr="00FE5A58">
              <w:rPr>
                <w:b/>
                <w:bCs/>
                <w:lang w:val="ro-RO"/>
              </w:rPr>
              <w:t xml:space="preserve">Schimbări preconizate cu privire la salarizarea personalului din </w:t>
            </w:r>
            <w:proofErr w:type="spellStart"/>
            <w:r w:rsidRPr="00FE5A58">
              <w:rPr>
                <w:b/>
                <w:bCs/>
                <w:lang w:val="ro-RO"/>
              </w:rPr>
              <w:t>autorităţile</w:t>
            </w:r>
            <w:proofErr w:type="spellEnd"/>
            <w:r w:rsidRPr="00FE5A58">
              <w:rPr>
                <w:b/>
                <w:bCs/>
                <w:lang w:val="ro-RO"/>
              </w:rPr>
              <w:t xml:space="preserve"> </w:t>
            </w:r>
            <w:proofErr w:type="spellStart"/>
            <w:r w:rsidRPr="00FE5A58">
              <w:rPr>
                <w:b/>
                <w:bCs/>
                <w:lang w:val="ro-RO"/>
              </w:rPr>
              <w:t>şi</w:t>
            </w:r>
            <w:proofErr w:type="spellEnd"/>
            <w:r w:rsidRPr="00FE5A58">
              <w:rPr>
                <w:b/>
                <w:bCs/>
                <w:lang w:val="ro-RO"/>
              </w:rPr>
              <w:t xml:space="preserve"> </w:t>
            </w:r>
            <w:proofErr w:type="spellStart"/>
            <w:r w:rsidRPr="00FE5A58">
              <w:rPr>
                <w:b/>
                <w:bCs/>
                <w:lang w:val="ro-RO"/>
              </w:rPr>
              <w:t>instituţiile</w:t>
            </w:r>
            <w:proofErr w:type="spellEnd"/>
            <w:r w:rsidRPr="00FE5A58">
              <w:rPr>
                <w:b/>
                <w:bCs/>
                <w:lang w:val="ro-RO"/>
              </w:rPr>
              <w:t xml:space="preserve"> publice </w:t>
            </w:r>
            <w:proofErr w:type="spellStart"/>
            <w:r w:rsidRPr="00FE5A58">
              <w:rPr>
                <w:b/>
                <w:bCs/>
                <w:lang w:val="ro-RO"/>
              </w:rPr>
              <w:t>finanţate</w:t>
            </w:r>
            <w:proofErr w:type="spellEnd"/>
            <w:r w:rsidRPr="00FE5A58">
              <w:rPr>
                <w:b/>
                <w:bCs/>
                <w:lang w:val="ro-RO"/>
              </w:rPr>
              <w:t xml:space="preserve"> integral din venituri proprii, aflate în subordinea, sub autoritatea, în coordonarea Guvernului, ministerelor </w:t>
            </w:r>
            <w:proofErr w:type="spellStart"/>
            <w:r w:rsidRPr="00FE5A58">
              <w:rPr>
                <w:b/>
                <w:bCs/>
                <w:lang w:val="ro-RO"/>
              </w:rPr>
              <w:t>şi</w:t>
            </w:r>
            <w:proofErr w:type="spellEnd"/>
            <w:r w:rsidRPr="00FE5A58">
              <w:rPr>
                <w:b/>
                <w:bCs/>
                <w:lang w:val="ro-RO"/>
              </w:rPr>
              <w:t xml:space="preserve"> a celorlalte organe de specialitate ale </w:t>
            </w:r>
            <w:proofErr w:type="spellStart"/>
            <w:r w:rsidRPr="00FE5A58">
              <w:rPr>
                <w:b/>
                <w:bCs/>
                <w:lang w:val="ro-RO"/>
              </w:rPr>
              <w:t>administraţiei</w:t>
            </w:r>
            <w:proofErr w:type="spellEnd"/>
            <w:r w:rsidRPr="00FE5A58">
              <w:rPr>
                <w:b/>
                <w:bCs/>
                <w:lang w:val="ro-RO"/>
              </w:rPr>
              <w:t xml:space="preserve"> publice centrale </w:t>
            </w:r>
            <w:proofErr w:type="spellStart"/>
            <w:r w:rsidRPr="00FE5A58">
              <w:rPr>
                <w:b/>
                <w:bCs/>
                <w:lang w:val="ro-RO"/>
              </w:rPr>
              <w:t>şi</w:t>
            </w:r>
            <w:proofErr w:type="spellEnd"/>
            <w:r w:rsidRPr="00FE5A58">
              <w:rPr>
                <w:b/>
                <w:bCs/>
                <w:lang w:val="ro-RO"/>
              </w:rPr>
              <w:t xml:space="preserve"> locale, din cele aflate în coordonarea prim-ministrului, precum </w:t>
            </w:r>
            <w:proofErr w:type="spellStart"/>
            <w:r w:rsidRPr="00FE5A58">
              <w:rPr>
                <w:b/>
                <w:bCs/>
                <w:lang w:val="ro-RO"/>
              </w:rPr>
              <w:t>şi</w:t>
            </w:r>
            <w:proofErr w:type="spellEnd"/>
            <w:r w:rsidRPr="00FE5A58">
              <w:rPr>
                <w:b/>
                <w:bCs/>
                <w:lang w:val="ro-RO"/>
              </w:rPr>
              <w:t xml:space="preserve"> din cele aflate sub controlul Parlamentului:</w:t>
            </w:r>
          </w:p>
          <w:p w14:paraId="555CD4B8" w14:textId="2104CFD7"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Anexa care r</w:t>
            </w:r>
            <w:r w:rsidR="00156217">
              <w:rPr>
                <w:lang w:val="ro-RO"/>
              </w:rPr>
              <w:t>e</w:t>
            </w:r>
            <w:r w:rsidRPr="00FE5A58">
              <w:rPr>
                <w:lang w:val="ro-RO"/>
              </w:rPr>
              <w:t>glementează salarizarea acestei categorii de personal păstrează structura din Legea-cadru nr.153/2017, pe două niveluri:</w:t>
            </w:r>
          </w:p>
          <w:p w14:paraId="655968D0" w14:textId="13E3DE48" w:rsidR="00FE5A58" w:rsidRPr="00FE5A58" w:rsidRDefault="00C435B7" w:rsidP="00C435B7">
            <w:pPr>
              <w:pStyle w:val="ListParagraph"/>
              <w:numPr>
                <w:ilvl w:val="0"/>
                <w:numId w:val="29"/>
              </w:numPr>
              <w:spacing w:after="160" w:line="259" w:lineRule="auto"/>
              <w:contextualSpacing/>
              <w:jc w:val="both"/>
              <w:rPr>
                <w:lang w:val="ro-RO"/>
              </w:rPr>
            </w:pPr>
            <w:r>
              <w:rPr>
                <w:lang w:val="ro-RO"/>
              </w:rPr>
              <w:t>p</w:t>
            </w:r>
            <w:r w:rsidR="00FE5A58" w:rsidRPr="00FE5A58">
              <w:rPr>
                <w:lang w:val="ro-RO"/>
              </w:rPr>
              <w:t xml:space="preserve">rimul nivel -salariile de bază ale personalului din </w:t>
            </w:r>
            <w:proofErr w:type="spellStart"/>
            <w:r w:rsidR="00FE5A58" w:rsidRPr="00FE5A58">
              <w:rPr>
                <w:lang w:val="ro-RO"/>
              </w:rPr>
              <w:t>autorităţile</w:t>
            </w:r>
            <w:proofErr w:type="spellEnd"/>
            <w:r w:rsidR="00FE5A58" w:rsidRPr="00FE5A58">
              <w:rPr>
                <w:lang w:val="ro-RO"/>
              </w:rPr>
              <w:t xml:space="preserve"> </w:t>
            </w:r>
            <w:proofErr w:type="spellStart"/>
            <w:r w:rsidR="00FE5A58" w:rsidRPr="00FE5A58">
              <w:rPr>
                <w:lang w:val="ro-RO"/>
              </w:rPr>
              <w:t>şi</w:t>
            </w:r>
            <w:proofErr w:type="spellEnd"/>
            <w:r w:rsidR="00FE5A58" w:rsidRPr="00FE5A58">
              <w:rPr>
                <w:lang w:val="ro-RO"/>
              </w:rPr>
              <w:t xml:space="preserve"> </w:t>
            </w:r>
            <w:proofErr w:type="spellStart"/>
            <w:r w:rsidR="00FE5A58" w:rsidRPr="00FE5A58">
              <w:rPr>
                <w:lang w:val="ro-RO"/>
              </w:rPr>
              <w:t>instituţiile</w:t>
            </w:r>
            <w:proofErr w:type="spellEnd"/>
            <w:r w:rsidR="00FE5A58" w:rsidRPr="00FE5A58">
              <w:rPr>
                <w:lang w:val="ro-RO"/>
              </w:rPr>
              <w:t xml:space="preserve"> publice </w:t>
            </w:r>
            <w:proofErr w:type="spellStart"/>
            <w:r w:rsidR="00FE5A58" w:rsidRPr="00FE5A58">
              <w:rPr>
                <w:lang w:val="ro-RO"/>
              </w:rPr>
              <w:t>finanţate</w:t>
            </w:r>
            <w:proofErr w:type="spellEnd"/>
            <w:r w:rsidR="00FE5A58" w:rsidRPr="00FE5A58">
              <w:rPr>
                <w:lang w:val="ro-RO"/>
              </w:rPr>
              <w:t xml:space="preserve"> integral din venituri proprii, aflate în subordinea, sub autoritatea, în coordonarea Guvernului, ministerelor </w:t>
            </w:r>
            <w:proofErr w:type="spellStart"/>
            <w:r w:rsidR="00FE5A58" w:rsidRPr="00FE5A58">
              <w:rPr>
                <w:lang w:val="ro-RO"/>
              </w:rPr>
              <w:t>şi</w:t>
            </w:r>
            <w:proofErr w:type="spellEnd"/>
            <w:r w:rsidR="00FE5A58" w:rsidRPr="00FE5A58">
              <w:rPr>
                <w:lang w:val="ro-RO"/>
              </w:rPr>
              <w:t xml:space="preserve"> a celorlalte organe de specialitate ale </w:t>
            </w:r>
            <w:proofErr w:type="spellStart"/>
            <w:r w:rsidR="00FE5A58" w:rsidRPr="00FE5A58">
              <w:rPr>
                <w:lang w:val="ro-RO"/>
              </w:rPr>
              <w:t>administraţiei</w:t>
            </w:r>
            <w:proofErr w:type="spellEnd"/>
            <w:r w:rsidR="00FE5A58" w:rsidRPr="00FE5A58">
              <w:rPr>
                <w:lang w:val="ro-RO"/>
              </w:rPr>
              <w:t xml:space="preserve"> publice centrale, din cele aflate în coordonarea prim-ministrului, precum </w:t>
            </w:r>
            <w:proofErr w:type="spellStart"/>
            <w:r w:rsidR="00FE5A58" w:rsidRPr="00FE5A58">
              <w:rPr>
                <w:lang w:val="ro-RO"/>
              </w:rPr>
              <w:t>şi</w:t>
            </w:r>
            <w:proofErr w:type="spellEnd"/>
            <w:r w:rsidR="00FE5A58" w:rsidRPr="00FE5A58">
              <w:rPr>
                <w:lang w:val="ro-RO"/>
              </w:rPr>
              <w:t xml:space="preserve"> din cele aflate sub controlul Parlamentului </w:t>
            </w:r>
          </w:p>
          <w:p w14:paraId="33EECAC2" w14:textId="6B0D83E2" w:rsidR="00FE5A58" w:rsidRPr="00C435B7" w:rsidRDefault="00C435B7" w:rsidP="00C435B7">
            <w:pPr>
              <w:pStyle w:val="ListParagraph"/>
              <w:numPr>
                <w:ilvl w:val="0"/>
                <w:numId w:val="29"/>
              </w:numPr>
              <w:spacing w:after="160" w:line="259" w:lineRule="auto"/>
              <w:contextualSpacing/>
              <w:jc w:val="both"/>
              <w:rPr>
                <w:lang w:val="ro-RO"/>
              </w:rPr>
            </w:pPr>
            <w:r>
              <w:rPr>
                <w:lang w:val="ro-RO"/>
              </w:rPr>
              <w:lastRenderedPageBreak/>
              <w:t>a</w:t>
            </w:r>
            <w:r w:rsidR="00FE5A58" w:rsidRPr="00FE5A58">
              <w:rPr>
                <w:lang w:val="ro-RO"/>
              </w:rPr>
              <w:t xml:space="preserve">l doilea nivel- salariile de bază ale personalului din </w:t>
            </w:r>
            <w:proofErr w:type="spellStart"/>
            <w:r w:rsidR="00FE5A58" w:rsidRPr="00FE5A58">
              <w:rPr>
                <w:lang w:val="ro-RO"/>
              </w:rPr>
              <w:t>instituţiile</w:t>
            </w:r>
            <w:proofErr w:type="spellEnd"/>
            <w:r w:rsidR="00FE5A58" w:rsidRPr="00FE5A58">
              <w:rPr>
                <w:lang w:val="ro-RO"/>
              </w:rPr>
              <w:t xml:space="preserve"> publice </w:t>
            </w:r>
            <w:proofErr w:type="spellStart"/>
            <w:r w:rsidR="00FE5A58" w:rsidRPr="00FE5A58">
              <w:rPr>
                <w:lang w:val="ro-RO"/>
              </w:rPr>
              <w:t>finanţate</w:t>
            </w:r>
            <w:proofErr w:type="spellEnd"/>
            <w:r w:rsidR="00FE5A58" w:rsidRPr="00FE5A58">
              <w:rPr>
                <w:lang w:val="ro-RO"/>
              </w:rPr>
              <w:t xml:space="preserve"> integral din </w:t>
            </w:r>
            <w:r w:rsidR="00FE5A58" w:rsidRPr="00C435B7">
              <w:rPr>
                <w:lang w:val="ro-RO"/>
              </w:rPr>
              <w:t xml:space="preserve">venituri proprii, aflate în subordinea, sub autoritatea, în coordonarea celorlalte organe de specialitate ale </w:t>
            </w:r>
            <w:proofErr w:type="spellStart"/>
            <w:r w:rsidR="00FE5A58" w:rsidRPr="00C435B7">
              <w:rPr>
                <w:lang w:val="ro-RO"/>
              </w:rPr>
              <w:t>administraţiei</w:t>
            </w:r>
            <w:proofErr w:type="spellEnd"/>
            <w:r w:rsidR="00FE5A58" w:rsidRPr="00C435B7">
              <w:rPr>
                <w:lang w:val="ro-RO"/>
              </w:rPr>
              <w:t xml:space="preserve"> publice locale.</w:t>
            </w:r>
          </w:p>
          <w:p w14:paraId="6AE541BA" w14:textId="307DB017" w:rsidR="00FE5A58" w:rsidRPr="00C435B7" w:rsidRDefault="00C435B7" w:rsidP="00C435B7">
            <w:pPr>
              <w:pStyle w:val="ListParagraph"/>
              <w:numPr>
                <w:ilvl w:val="0"/>
                <w:numId w:val="29"/>
              </w:numPr>
              <w:spacing w:after="160" w:line="259" w:lineRule="auto"/>
              <w:contextualSpacing/>
              <w:jc w:val="both"/>
              <w:rPr>
                <w:lang w:val="ro-RO"/>
              </w:rPr>
            </w:pPr>
            <w:r w:rsidRPr="00C435B7">
              <w:rPr>
                <w:lang w:val="ro-RO"/>
              </w:rPr>
              <w:t>c</w:t>
            </w:r>
            <w:r w:rsidR="00FE5A58" w:rsidRPr="00C435B7">
              <w:rPr>
                <w:lang w:val="ro-RO"/>
              </w:rPr>
              <w:t>a noutate, salariile de bază pentru funcțiile de execuție sunt stabilite la gradația 0, spre deosebire de prevederile actuale potrivit cărora, salariile de bază pentru această categorie de personal includ vechimea în muncă la nivel maxim.</w:t>
            </w:r>
          </w:p>
          <w:p w14:paraId="01E03D5C" w14:textId="1B77B6E2" w:rsidR="00C435B7" w:rsidRPr="00C435B7" w:rsidRDefault="00C435B7" w:rsidP="00C435B7">
            <w:pPr>
              <w:pStyle w:val="ListParagraph"/>
              <w:numPr>
                <w:ilvl w:val="0"/>
                <w:numId w:val="29"/>
              </w:numPr>
              <w:tabs>
                <w:tab w:val="left" w:pos="1155"/>
              </w:tabs>
              <w:spacing w:after="160" w:line="259" w:lineRule="auto"/>
              <w:contextualSpacing/>
              <w:jc w:val="both"/>
              <w:rPr>
                <w:lang w:val="ro-RO"/>
              </w:rPr>
            </w:pPr>
            <w:r w:rsidRPr="00C435B7">
              <w:rPr>
                <w:lang w:val="ro-RO"/>
              </w:rPr>
              <w:t xml:space="preserve">Referitor la sporurile de care beneficiază personalul din </w:t>
            </w:r>
            <w:r>
              <w:rPr>
                <w:lang w:val="ro-RO"/>
              </w:rPr>
              <w:t>instituțiile/aut</w:t>
            </w:r>
            <w:r w:rsidR="00CB37FF">
              <w:rPr>
                <w:lang w:val="ro-RO"/>
              </w:rPr>
              <w:t>o</w:t>
            </w:r>
            <w:r>
              <w:rPr>
                <w:lang w:val="ro-RO"/>
              </w:rPr>
              <w:t>ritățile finanțate din venituri proprii</w:t>
            </w:r>
            <w:r w:rsidRPr="00C435B7">
              <w:rPr>
                <w:lang w:val="ro-RO"/>
              </w:rPr>
              <w:t xml:space="preserve">, acestea sunt aliniate în ceea ce privește condițiile de acordate și cuantumul lor, cu cele acordate pentru celelalte familii bugetare, sporul pentru </w:t>
            </w:r>
            <w:proofErr w:type="spellStart"/>
            <w:r w:rsidRPr="00C435B7">
              <w:rPr>
                <w:lang w:val="ro-RO"/>
              </w:rPr>
              <w:t>condiţii</w:t>
            </w:r>
            <w:proofErr w:type="spellEnd"/>
            <w:r w:rsidRPr="00C435B7">
              <w:rPr>
                <w:lang w:val="ro-RO"/>
              </w:rPr>
              <w:t xml:space="preserve"> grele de muncă </w:t>
            </w:r>
            <w:r w:rsidR="00CB37FF">
              <w:rPr>
                <w:lang w:val="ro-RO"/>
              </w:rPr>
              <w:t>fiind</w:t>
            </w:r>
            <w:r w:rsidRPr="00C435B7">
              <w:rPr>
                <w:lang w:val="ro-RO"/>
              </w:rPr>
              <w:t xml:space="preserve"> redus la până la 5% din salariul de bază, corespunzător timpului lucrat la locurile respective de muncă, față de până la 15% cât este în prezen</w:t>
            </w:r>
            <w:r>
              <w:rPr>
                <w:lang w:val="ro-RO"/>
              </w:rPr>
              <w:t>t.</w:t>
            </w:r>
          </w:p>
          <w:p w14:paraId="781760D2" w14:textId="77777777" w:rsidR="00FE5A58" w:rsidRPr="00FE5A58" w:rsidRDefault="00FE5A58" w:rsidP="00FE5A58">
            <w:pPr>
              <w:rPr>
                <w:lang w:val="ro-RO"/>
              </w:rPr>
            </w:pPr>
          </w:p>
          <w:p w14:paraId="33EA59FE" w14:textId="77777777" w:rsidR="00FE5A58" w:rsidRPr="00FE5A58" w:rsidRDefault="00FE5A58" w:rsidP="00FE5A58">
            <w:pPr>
              <w:jc w:val="both"/>
              <w:rPr>
                <w:b/>
                <w:bCs/>
                <w:lang w:val="ro-RO"/>
              </w:rPr>
            </w:pPr>
            <w:r w:rsidRPr="00FE5A58">
              <w:rPr>
                <w:b/>
                <w:bCs/>
                <w:lang w:val="ro-RO"/>
              </w:rPr>
              <w:t>Schimbări preconizate cu privire la salarizarea personalului din FAMILIA OCUPAŢIONALĂ DE FUNCŢII BUGETARE " ADMINISTRAȚIE":</w:t>
            </w:r>
          </w:p>
          <w:p w14:paraId="408B28EF" w14:textId="77777777"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Proiectul de lege prevede două niveluri de salarizare pentru administrația publică centrală:</w:t>
            </w:r>
          </w:p>
          <w:p w14:paraId="35AE337D" w14:textId="77777777"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Nivelul I –autoritățile și instituțiile publice subordonate și în coordonarea ministerelor și celelalte autorități și instituții publice care sunt ordonatori principali de credite din administrația publică centrală</w:t>
            </w:r>
          </w:p>
          <w:p w14:paraId="76FA1401" w14:textId="77777777"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Nivelul II - ministere, SGG, Cancelaria Prim-Ministrului, Președinția României și Parlamentul României</w:t>
            </w:r>
          </w:p>
          <w:p w14:paraId="588E7B26" w14:textId="46A36598"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Majorarea pentru complexitatea muncii acordată unor categorii de personal bugetar din această anexă a fost</w:t>
            </w:r>
            <w:r w:rsidR="00C435B7">
              <w:rPr>
                <w:lang w:val="ro-RO"/>
              </w:rPr>
              <w:t xml:space="preserve"> eliminată, fiind</w:t>
            </w:r>
            <w:r w:rsidRPr="00FE5A58">
              <w:rPr>
                <w:lang w:val="ro-RO"/>
              </w:rPr>
              <w:t xml:space="preserve"> luată în calcul la stabilirea noilor coeficienți</w:t>
            </w:r>
            <w:r w:rsidR="00C435B7">
              <w:rPr>
                <w:lang w:val="ro-RO"/>
              </w:rPr>
              <w:t xml:space="preserve"> de salarizare</w:t>
            </w:r>
            <w:r w:rsidRPr="00FE5A58">
              <w:rPr>
                <w:lang w:val="ro-RO"/>
              </w:rPr>
              <w:t>.</w:t>
            </w:r>
          </w:p>
          <w:p w14:paraId="6D17529E" w14:textId="77777777" w:rsidR="00FE5A58" w:rsidRPr="00FE5A58" w:rsidRDefault="00FE5A58" w:rsidP="00C435B7">
            <w:pPr>
              <w:pStyle w:val="ListParagraph"/>
              <w:numPr>
                <w:ilvl w:val="0"/>
                <w:numId w:val="29"/>
              </w:numPr>
              <w:spacing w:after="160" w:line="259" w:lineRule="auto"/>
              <w:contextualSpacing/>
              <w:jc w:val="both"/>
              <w:rPr>
                <w:lang w:val="ro-RO"/>
              </w:rPr>
            </w:pPr>
            <w:r w:rsidRPr="00FE5A58">
              <w:rPr>
                <w:lang w:val="ro-RO"/>
              </w:rPr>
              <w:t>Pentru personalul din cadrul administrației publice locale, au fost elaborate 5 grile de salarizare, în funcție de numărul de locuitori, respectiv:</w:t>
            </w:r>
          </w:p>
          <w:p w14:paraId="32C9743B" w14:textId="77777777" w:rsidR="00FE5A58" w:rsidRPr="00FE5A58" w:rsidRDefault="00FE5A58" w:rsidP="00FE5A58">
            <w:pPr>
              <w:pStyle w:val="ListParagraph"/>
              <w:jc w:val="both"/>
              <w:rPr>
                <w:lang w:val="ro-RO"/>
              </w:rPr>
            </w:pPr>
            <w:r w:rsidRPr="00FE5A58">
              <w:rPr>
                <w:lang w:val="ro-RO"/>
              </w:rPr>
              <w:t>- grilă Primăria Municipiului București -stabilită la nivelul administrației publice centrale Nivelul I</w:t>
            </w:r>
          </w:p>
          <w:p w14:paraId="757CC695" w14:textId="6689C71F" w:rsidR="00FE5A58" w:rsidRPr="00FE5A58" w:rsidRDefault="00FE5A58" w:rsidP="00FE5A58">
            <w:pPr>
              <w:pStyle w:val="ListParagraph"/>
              <w:jc w:val="both"/>
              <w:rPr>
                <w:lang w:val="ro-RO"/>
              </w:rPr>
            </w:pPr>
            <w:r w:rsidRPr="00FE5A58">
              <w:rPr>
                <w:lang w:val="ro-RO"/>
              </w:rPr>
              <w:t xml:space="preserve">-grilă U.A.T. peste 200.000 locuitori și sectoarele Municipiului București </w:t>
            </w:r>
          </w:p>
          <w:p w14:paraId="4EDB4973" w14:textId="4EA8D44A" w:rsidR="00FE5A58" w:rsidRPr="00FE5A58" w:rsidRDefault="00FE5A58" w:rsidP="00FE5A58">
            <w:pPr>
              <w:pStyle w:val="ListParagraph"/>
              <w:jc w:val="both"/>
              <w:rPr>
                <w:lang w:val="ro-RO"/>
              </w:rPr>
            </w:pPr>
            <w:r w:rsidRPr="00FE5A58">
              <w:rPr>
                <w:lang w:val="ro-RO"/>
              </w:rPr>
              <w:t xml:space="preserve">- grilă U.A.T. între 50.000 si 200.000 locuitori </w:t>
            </w:r>
          </w:p>
          <w:p w14:paraId="4D9D9C6A" w14:textId="3DE50787" w:rsidR="00FE5A58" w:rsidRPr="00FE5A58" w:rsidRDefault="00FE5A58" w:rsidP="00FE5A58">
            <w:pPr>
              <w:pStyle w:val="ListParagraph"/>
              <w:jc w:val="both"/>
              <w:rPr>
                <w:lang w:val="ro-RO"/>
              </w:rPr>
            </w:pPr>
            <w:r w:rsidRPr="00FE5A58">
              <w:rPr>
                <w:lang w:val="ro-RO"/>
              </w:rPr>
              <w:t xml:space="preserve">- grilă U.A.T. între 10.000-50.000 locuitori </w:t>
            </w:r>
          </w:p>
          <w:p w14:paraId="07242E1D" w14:textId="77777777" w:rsidR="00EA22D1" w:rsidRDefault="00FE5A58" w:rsidP="00EA22D1">
            <w:pPr>
              <w:pStyle w:val="ListParagraph"/>
              <w:jc w:val="both"/>
              <w:rPr>
                <w:lang w:val="ro-RO"/>
              </w:rPr>
            </w:pPr>
            <w:r w:rsidRPr="00FE5A58">
              <w:rPr>
                <w:lang w:val="ro-RO"/>
              </w:rPr>
              <w:t xml:space="preserve">- grilă U.A.T. sub 10.000 locuitori </w:t>
            </w:r>
          </w:p>
          <w:p w14:paraId="79094C8B" w14:textId="1B92765A" w:rsidR="00FE5A58" w:rsidRPr="00EA22D1" w:rsidRDefault="00EA22D1" w:rsidP="00EA22D1">
            <w:pPr>
              <w:pStyle w:val="ListParagraph"/>
              <w:numPr>
                <w:ilvl w:val="0"/>
                <w:numId w:val="35"/>
              </w:numPr>
              <w:jc w:val="both"/>
              <w:rPr>
                <w:lang w:val="ro-RO"/>
              </w:rPr>
            </w:pPr>
            <w:bookmarkStart w:id="1" w:name="_Hlk227679966"/>
            <w:r>
              <w:rPr>
                <w:lang w:val="ro-RO"/>
              </w:rPr>
              <w:t>A</w:t>
            </w:r>
            <w:r w:rsidR="00FE5A58" w:rsidRPr="00EA22D1">
              <w:rPr>
                <w:lang w:val="ro-RO"/>
              </w:rPr>
              <w:t xml:space="preserve"> fost introdusă o grilă de salarizare specifică personalului de specialitate în domeniul tehnologia informației, comunicații, securitate și apărare cibernetică din </w:t>
            </w:r>
            <w:proofErr w:type="spellStart"/>
            <w:r w:rsidR="00FE5A58" w:rsidRPr="00EA22D1">
              <w:rPr>
                <w:lang w:val="ro-RO"/>
              </w:rPr>
              <w:t>instituţiile</w:t>
            </w:r>
            <w:proofErr w:type="spellEnd"/>
            <w:r w:rsidR="00FE5A58" w:rsidRPr="00EA22D1">
              <w:rPr>
                <w:lang w:val="ro-RO"/>
              </w:rPr>
              <w:t xml:space="preserve"> </w:t>
            </w:r>
            <w:proofErr w:type="spellStart"/>
            <w:r w:rsidR="00FE5A58" w:rsidRPr="00EA22D1">
              <w:rPr>
                <w:lang w:val="ro-RO"/>
              </w:rPr>
              <w:t>şi</w:t>
            </w:r>
            <w:proofErr w:type="spellEnd"/>
            <w:r w:rsidR="00FE5A58" w:rsidRPr="00EA22D1">
              <w:rPr>
                <w:lang w:val="ro-RO"/>
              </w:rPr>
              <w:t xml:space="preserve"> </w:t>
            </w:r>
            <w:proofErr w:type="spellStart"/>
            <w:r w:rsidR="00FE5A58" w:rsidRPr="00EA22D1">
              <w:rPr>
                <w:lang w:val="ro-RO"/>
              </w:rPr>
              <w:t>autorităţile</w:t>
            </w:r>
            <w:proofErr w:type="spellEnd"/>
            <w:r w:rsidR="00FE5A58" w:rsidRPr="00EA22D1">
              <w:rPr>
                <w:lang w:val="ro-RO"/>
              </w:rPr>
              <w:t xml:space="preserve"> administrației publice.</w:t>
            </w:r>
          </w:p>
          <w:p w14:paraId="13DF8589" w14:textId="77777777" w:rsidR="00FE5A58" w:rsidRPr="00657BF1" w:rsidRDefault="00FE5A58" w:rsidP="00657BF1">
            <w:pPr>
              <w:jc w:val="both"/>
              <w:rPr>
                <w:lang w:val="ro-RO"/>
              </w:rPr>
            </w:pPr>
          </w:p>
          <w:p w14:paraId="01129457" w14:textId="77777777" w:rsidR="00FE5A58" w:rsidRPr="00FE5A58" w:rsidRDefault="00FE5A58" w:rsidP="00FE5A58">
            <w:pPr>
              <w:jc w:val="both"/>
              <w:rPr>
                <w:b/>
                <w:bCs/>
                <w:lang w:val="ro-RO"/>
              </w:rPr>
            </w:pPr>
            <w:r w:rsidRPr="00FE5A58">
              <w:rPr>
                <w:b/>
                <w:bCs/>
                <w:lang w:val="ro-RO"/>
              </w:rPr>
              <w:t>Schimbări preconizate cu privire la salarizarea funcțiilor de demnitate publică</w:t>
            </w:r>
          </w:p>
          <w:p w14:paraId="1A3FBCA3" w14:textId="77777777" w:rsidR="00EA22D1" w:rsidRPr="00EA22D1" w:rsidRDefault="00FE5A58" w:rsidP="00F724E4">
            <w:pPr>
              <w:pStyle w:val="ListParagraph"/>
              <w:numPr>
                <w:ilvl w:val="0"/>
                <w:numId w:val="29"/>
              </w:numPr>
              <w:spacing w:after="160" w:line="259" w:lineRule="auto"/>
              <w:contextualSpacing/>
              <w:jc w:val="both"/>
              <w:rPr>
                <w:b/>
                <w:bCs/>
                <w:lang w:val="ro-RO"/>
              </w:rPr>
            </w:pPr>
            <w:r w:rsidRPr="00EA22D1">
              <w:rPr>
                <w:lang w:val="ro-RO"/>
              </w:rPr>
              <w:t>Funcțiile de demnitate publică au coeficienți</w:t>
            </w:r>
            <w:r w:rsidR="001707B0" w:rsidRPr="00EA22D1">
              <w:rPr>
                <w:lang w:val="ro-RO"/>
              </w:rPr>
              <w:t xml:space="preserve"> de salarizare</w:t>
            </w:r>
            <w:r w:rsidRPr="00EA22D1">
              <w:rPr>
                <w:lang w:val="ro-RO"/>
              </w:rPr>
              <w:t xml:space="preserve"> cuprinși între </w:t>
            </w:r>
            <w:r w:rsidR="001707B0" w:rsidRPr="00EA22D1">
              <w:rPr>
                <w:lang w:val="ro-RO"/>
              </w:rPr>
              <w:t xml:space="preserve">3,75 </w:t>
            </w:r>
            <w:r w:rsidRPr="00EA22D1">
              <w:rPr>
                <w:lang w:val="ro-RO"/>
              </w:rPr>
              <w:t>și 8</w:t>
            </w:r>
            <w:r w:rsidR="001707B0" w:rsidRPr="00EA22D1">
              <w:rPr>
                <w:lang w:val="ro-RO"/>
              </w:rPr>
              <w:t>,00</w:t>
            </w:r>
            <w:r w:rsidR="00EA22D1">
              <w:rPr>
                <w:lang w:val="ro-RO"/>
              </w:rPr>
              <w:t>.</w:t>
            </w:r>
          </w:p>
          <w:p w14:paraId="69C18262" w14:textId="77777777" w:rsidR="00EA22D1" w:rsidRPr="00EA22D1" w:rsidRDefault="00EA22D1" w:rsidP="00EA22D1">
            <w:pPr>
              <w:spacing w:after="160" w:line="259" w:lineRule="auto"/>
              <w:ind w:left="360"/>
              <w:contextualSpacing/>
              <w:jc w:val="both"/>
              <w:rPr>
                <w:b/>
                <w:bCs/>
                <w:lang w:val="ro-RO"/>
              </w:rPr>
            </w:pPr>
          </w:p>
          <w:p w14:paraId="53D8CF32" w14:textId="1A3476E2" w:rsidR="00FE5A58" w:rsidRPr="00EA22D1" w:rsidRDefault="00FE5A58" w:rsidP="00EA22D1">
            <w:pPr>
              <w:spacing w:after="160" w:line="259" w:lineRule="auto"/>
              <w:contextualSpacing/>
              <w:jc w:val="both"/>
              <w:rPr>
                <w:b/>
                <w:bCs/>
                <w:lang w:val="ro-RO"/>
              </w:rPr>
            </w:pPr>
            <w:r w:rsidRPr="00EA22D1">
              <w:rPr>
                <w:b/>
                <w:bCs/>
                <w:lang w:val="ro-RO"/>
              </w:rPr>
              <w:t>Ultima anexă din proiectul de lege este Anexa X - STRUCTURA DE GRADE care cuprinde  criteriile de evaluare a funcțiilor din sistemul public, precum și descrierea gradelor de salarizare.</w:t>
            </w:r>
          </w:p>
          <w:bookmarkEnd w:id="1"/>
          <w:p w14:paraId="79E601B4" w14:textId="256F2A28" w:rsidR="00CE5DD8" w:rsidRPr="00FE5A58" w:rsidRDefault="00CE5DD8" w:rsidP="00152A2A">
            <w:pPr>
              <w:spacing w:line="276" w:lineRule="auto"/>
              <w:jc w:val="both"/>
              <w:rPr>
                <w:bCs/>
                <w:color w:val="00B050"/>
                <w:lang w:val="pt-PT"/>
              </w:rPr>
            </w:pPr>
          </w:p>
        </w:tc>
      </w:tr>
      <w:tr w:rsidR="006F1E4B" w:rsidRPr="00FE5A58" w14:paraId="58D5DC10" w14:textId="77777777" w:rsidTr="002656DB">
        <w:tc>
          <w:tcPr>
            <w:tcW w:w="10031" w:type="dxa"/>
            <w:gridSpan w:val="7"/>
          </w:tcPr>
          <w:p w14:paraId="27B6FC37" w14:textId="77777777" w:rsidR="00A1209C" w:rsidRPr="00FE5A58" w:rsidRDefault="00112B51" w:rsidP="000B618E">
            <w:pPr>
              <w:numPr>
                <w:ilvl w:val="1"/>
                <w:numId w:val="14"/>
              </w:numPr>
              <w:spacing w:line="276" w:lineRule="auto"/>
              <w:jc w:val="both"/>
              <w:rPr>
                <w:b/>
                <w:color w:val="000000"/>
                <w:lang w:val="ro-RO"/>
              </w:rPr>
            </w:pPr>
            <w:r w:rsidRPr="00FE5A58">
              <w:rPr>
                <w:b/>
                <w:color w:val="000000"/>
                <w:lang w:val="ro-RO"/>
              </w:rPr>
              <w:lastRenderedPageBreak/>
              <w:t xml:space="preserve">. </w:t>
            </w:r>
            <w:r w:rsidR="00375B03" w:rsidRPr="00FE5A58">
              <w:rPr>
                <w:b/>
                <w:color w:val="000000"/>
                <w:lang w:val="ro-RO"/>
              </w:rPr>
              <w:t>Alte informa</w:t>
            </w:r>
            <w:r w:rsidR="00C41F89" w:rsidRPr="00FE5A58">
              <w:rPr>
                <w:b/>
                <w:color w:val="000000"/>
                <w:lang w:val="ro-RO"/>
              </w:rPr>
              <w:t>ț</w:t>
            </w:r>
            <w:r w:rsidR="00375B03" w:rsidRPr="00FE5A58">
              <w:rPr>
                <w:b/>
                <w:color w:val="000000"/>
                <w:lang w:val="ro-RO"/>
              </w:rPr>
              <w:t>ii</w:t>
            </w:r>
            <w:r w:rsidR="00D47C58" w:rsidRPr="00FE5A58">
              <w:rPr>
                <w:b/>
                <w:color w:val="000000"/>
                <w:lang w:val="ro-RO"/>
              </w:rPr>
              <w:t>*)</w:t>
            </w:r>
          </w:p>
          <w:p w14:paraId="31F68194" w14:textId="77777777" w:rsidR="00946FC6" w:rsidRPr="00FE5A58" w:rsidRDefault="00D47C58" w:rsidP="000B618E">
            <w:pPr>
              <w:spacing w:line="276" w:lineRule="auto"/>
              <w:jc w:val="both"/>
              <w:rPr>
                <w:color w:val="000000"/>
                <w:lang w:val="ro-RO"/>
              </w:rPr>
            </w:pPr>
            <w:r w:rsidRPr="00FE5A58">
              <w:rPr>
                <w:color w:val="000000"/>
                <w:lang w:val="ro-RO"/>
              </w:rPr>
              <w:t>Nu este cazul.</w:t>
            </w:r>
          </w:p>
        </w:tc>
      </w:tr>
      <w:tr w:rsidR="006F1E4B" w:rsidRPr="00FE5A58" w14:paraId="64B91383" w14:textId="77777777" w:rsidTr="002656DB">
        <w:tc>
          <w:tcPr>
            <w:tcW w:w="10031" w:type="dxa"/>
            <w:gridSpan w:val="7"/>
          </w:tcPr>
          <w:p w14:paraId="1F682EBA" w14:textId="77777777" w:rsidR="00375B03" w:rsidRPr="00FE5A58" w:rsidRDefault="00375B03" w:rsidP="000B618E">
            <w:pPr>
              <w:spacing w:line="276" w:lineRule="auto"/>
              <w:jc w:val="center"/>
              <w:rPr>
                <w:b/>
                <w:color w:val="000000"/>
                <w:lang w:val="ro-RO"/>
              </w:rPr>
            </w:pPr>
            <w:proofErr w:type="spellStart"/>
            <w:r w:rsidRPr="00FE5A58">
              <w:rPr>
                <w:b/>
                <w:color w:val="000000"/>
                <w:lang w:val="ro-RO"/>
              </w:rPr>
              <w:t>Secţiunea</w:t>
            </w:r>
            <w:proofErr w:type="spellEnd"/>
            <w:r w:rsidRPr="00FE5A58">
              <w:rPr>
                <w:b/>
                <w:color w:val="000000"/>
                <w:lang w:val="ro-RO"/>
              </w:rPr>
              <w:t xml:space="preserve"> a 3-a</w:t>
            </w:r>
          </w:p>
          <w:p w14:paraId="7AD55209" w14:textId="77777777" w:rsidR="00526B38" w:rsidRPr="00FE5A58" w:rsidRDefault="00A151EA" w:rsidP="000B618E">
            <w:pPr>
              <w:spacing w:line="276" w:lineRule="auto"/>
              <w:jc w:val="center"/>
              <w:rPr>
                <w:b/>
                <w:color w:val="000000"/>
                <w:lang w:val="ro-RO"/>
              </w:rPr>
            </w:pPr>
            <w:r w:rsidRPr="00FE5A58">
              <w:rPr>
                <w:b/>
                <w:color w:val="000000"/>
                <w:lang w:val="ro-RO"/>
              </w:rPr>
              <w:t>Impactul socioeconomic</w:t>
            </w:r>
          </w:p>
        </w:tc>
      </w:tr>
      <w:tr w:rsidR="006F1E4B" w:rsidRPr="00254ACD" w14:paraId="1BBDB9C7" w14:textId="77777777" w:rsidTr="002656DB">
        <w:tc>
          <w:tcPr>
            <w:tcW w:w="10031" w:type="dxa"/>
            <w:gridSpan w:val="7"/>
          </w:tcPr>
          <w:p w14:paraId="2B2E662D" w14:textId="77777777" w:rsidR="00D47C58" w:rsidRPr="00FE5A58" w:rsidRDefault="00D47C58" w:rsidP="000B618E">
            <w:pPr>
              <w:spacing w:line="276" w:lineRule="auto"/>
              <w:jc w:val="both"/>
              <w:rPr>
                <w:b/>
                <w:bCs/>
                <w:color w:val="000000"/>
                <w:lang w:val="ro-RO"/>
              </w:rPr>
            </w:pPr>
            <w:r w:rsidRPr="00FE5A58">
              <w:rPr>
                <w:b/>
                <w:bCs/>
                <w:color w:val="000000"/>
                <w:lang w:val="ro-RO"/>
              </w:rPr>
              <w:t>3.</w:t>
            </w:r>
            <w:r w:rsidR="00375B03" w:rsidRPr="00FE5A58">
              <w:rPr>
                <w:b/>
                <w:bCs/>
                <w:color w:val="000000"/>
                <w:lang w:val="ro-RO"/>
              </w:rPr>
              <w:t xml:space="preserve">1. </w:t>
            </w:r>
            <w:r w:rsidR="00A151EA" w:rsidRPr="00FE5A58">
              <w:rPr>
                <w:color w:val="000000"/>
                <w:lang w:val="ro-RO"/>
              </w:rPr>
              <w:t xml:space="preserve"> </w:t>
            </w:r>
            <w:r w:rsidR="00A151EA" w:rsidRPr="00FE5A58">
              <w:rPr>
                <w:b/>
                <w:bCs/>
                <w:color w:val="000000"/>
                <w:lang w:val="ro-RO"/>
              </w:rPr>
              <w:t xml:space="preserve">Descrierea generală a beneficiilor </w:t>
            </w:r>
            <w:proofErr w:type="spellStart"/>
            <w:r w:rsidR="00A151EA" w:rsidRPr="00FE5A58">
              <w:rPr>
                <w:b/>
                <w:bCs/>
                <w:color w:val="000000"/>
                <w:lang w:val="ro-RO"/>
              </w:rPr>
              <w:t>şi</w:t>
            </w:r>
            <w:proofErr w:type="spellEnd"/>
            <w:r w:rsidR="00A151EA" w:rsidRPr="00FE5A58">
              <w:rPr>
                <w:b/>
                <w:bCs/>
                <w:color w:val="000000"/>
                <w:lang w:val="ro-RO"/>
              </w:rPr>
              <w:t xml:space="preserve"> costurilor estimate ca urmare a intrării în vigoare a actului normativ</w:t>
            </w:r>
          </w:p>
          <w:p w14:paraId="2E12A12B" w14:textId="77777777" w:rsidR="00707C3F" w:rsidRPr="00FE5A58" w:rsidRDefault="00707C3F" w:rsidP="000B618E">
            <w:pPr>
              <w:spacing w:line="276" w:lineRule="auto"/>
              <w:jc w:val="both"/>
              <w:rPr>
                <w:color w:val="000000"/>
                <w:lang w:val="ro-RO"/>
              </w:rPr>
            </w:pPr>
            <w:r w:rsidRPr="00FE5A58">
              <w:rPr>
                <w:color w:val="000000"/>
                <w:lang w:val="ro-RO"/>
              </w:rPr>
              <w:t xml:space="preserve"> </w:t>
            </w:r>
            <w:r w:rsidR="0042139C" w:rsidRPr="00FE5A58">
              <w:rPr>
                <w:color w:val="000000"/>
                <w:lang w:val="ro-RO"/>
              </w:rPr>
              <w:t>Proiectul de act normativ nu se referă la acest subiect</w:t>
            </w:r>
          </w:p>
        </w:tc>
      </w:tr>
      <w:tr w:rsidR="006F1E4B" w:rsidRPr="00254ACD" w14:paraId="68878CB5" w14:textId="77777777" w:rsidTr="00D31EA6">
        <w:trPr>
          <w:trHeight w:val="1487"/>
        </w:trPr>
        <w:tc>
          <w:tcPr>
            <w:tcW w:w="10031" w:type="dxa"/>
            <w:gridSpan w:val="7"/>
          </w:tcPr>
          <w:p w14:paraId="588CC1E3" w14:textId="77777777" w:rsidR="00375B03" w:rsidRPr="00FE5A58" w:rsidRDefault="00375B03" w:rsidP="000B618E">
            <w:pPr>
              <w:spacing w:line="276" w:lineRule="auto"/>
              <w:jc w:val="both"/>
              <w:rPr>
                <w:b/>
                <w:bCs/>
                <w:lang w:val="ro-RO"/>
              </w:rPr>
            </w:pPr>
            <w:r w:rsidRPr="00FE5A58">
              <w:rPr>
                <w:b/>
                <w:bCs/>
                <w:lang w:val="ro-RO"/>
              </w:rPr>
              <w:lastRenderedPageBreak/>
              <w:t>3.</w:t>
            </w:r>
            <w:r w:rsidR="00A151EA" w:rsidRPr="00FE5A58">
              <w:rPr>
                <w:b/>
                <w:bCs/>
                <w:lang w:val="ro-RO"/>
              </w:rPr>
              <w:t>2.</w:t>
            </w:r>
            <w:r w:rsidRPr="00FE5A58">
              <w:rPr>
                <w:b/>
                <w:bCs/>
                <w:lang w:val="ro-RO"/>
              </w:rPr>
              <w:t xml:space="preserve"> Impact social</w:t>
            </w:r>
          </w:p>
          <w:p w14:paraId="6052EE29" w14:textId="43648DE2" w:rsidR="008129B0" w:rsidRPr="003C5276" w:rsidRDefault="00D31EA6" w:rsidP="00D31EA6">
            <w:pPr>
              <w:spacing w:after="240"/>
              <w:jc w:val="both"/>
              <w:rPr>
                <w:lang w:val="ro-RO"/>
              </w:rPr>
            </w:pPr>
            <w:r>
              <w:rPr>
                <w:lang w:val="ro-RO"/>
              </w:rPr>
              <w:t>Prezentul proiect de lege urmărește c</w:t>
            </w:r>
            <w:r w:rsidR="003C5276" w:rsidRPr="003C5276">
              <w:rPr>
                <w:lang w:val="ro-RO"/>
              </w:rPr>
              <w:t xml:space="preserve">onsolidarea echității în remunerarea personalului plătit din fonduri publice, în </w:t>
            </w:r>
            <w:r w:rsidR="003C5276">
              <w:rPr>
                <w:lang w:val="ro-RO"/>
              </w:rPr>
              <w:t xml:space="preserve">vederea </w:t>
            </w:r>
            <w:r w:rsidR="003C5276" w:rsidRPr="003C5276">
              <w:rPr>
                <w:lang w:val="ro-RO"/>
              </w:rPr>
              <w:t>reducer</w:t>
            </w:r>
            <w:r w:rsidR="003C5276">
              <w:rPr>
                <w:lang w:val="ro-RO"/>
              </w:rPr>
              <w:t>ii</w:t>
            </w:r>
            <w:r w:rsidR="003C5276" w:rsidRPr="003C5276">
              <w:rPr>
                <w:lang w:val="ro-RO"/>
              </w:rPr>
              <w:t xml:space="preserve"> discrepanțelor salariale, în </w:t>
            </w:r>
            <w:r>
              <w:rPr>
                <w:lang w:val="ro-RO"/>
              </w:rPr>
              <w:t xml:space="preserve">vederea </w:t>
            </w:r>
            <w:r w:rsidR="003C5276" w:rsidRPr="003C5276">
              <w:rPr>
                <w:lang w:val="ro-RO"/>
              </w:rPr>
              <w:t>creșter</w:t>
            </w:r>
            <w:r>
              <w:rPr>
                <w:lang w:val="ro-RO"/>
              </w:rPr>
              <w:t>ii</w:t>
            </w:r>
            <w:r w:rsidR="003C5276" w:rsidRPr="003C5276">
              <w:rPr>
                <w:lang w:val="ro-RO"/>
              </w:rPr>
              <w:t xml:space="preserve"> predictibilității și transparenței sistemului de plată, precum și în</w:t>
            </w:r>
            <w:r>
              <w:rPr>
                <w:lang w:val="ro-RO"/>
              </w:rPr>
              <w:t xml:space="preserve"> vederea</w:t>
            </w:r>
            <w:r w:rsidR="003C5276" w:rsidRPr="003C5276">
              <w:rPr>
                <w:lang w:val="ro-RO"/>
              </w:rPr>
              <w:t xml:space="preserve"> stimul</w:t>
            </w:r>
            <w:r>
              <w:rPr>
                <w:lang w:val="ro-RO"/>
              </w:rPr>
              <w:t>ării</w:t>
            </w:r>
            <w:r w:rsidR="003C5276" w:rsidRPr="003C5276">
              <w:rPr>
                <w:lang w:val="ro-RO"/>
              </w:rPr>
              <w:t xml:space="preserve"> </w:t>
            </w:r>
            <w:r w:rsidR="00EA22D1">
              <w:rPr>
                <w:lang w:val="ro-RO"/>
              </w:rPr>
              <w:t xml:space="preserve">performanței </w:t>
            </w:r>
            <w:r w:rsidR="003C5276" w:rsidRPr="003C5276">
              <w:rPr>
                <w:lang w:val="ro-RO"/>
              </w:rPr>
              <w:t xml:space="preserve">și profesionalizării </w:t>
            </w:r>
            <w:r w:rsidR="003C5276">
              <w:rPr>
                <w:lang w:val="ro-RO"/>
              </w:rPr>
              <w:t>personalului</w:t>
            </w:r>
            <w:r w:rsidR="003C5276" w:rsidRPr="003C5276">
              <w:rPr>
                <w:lang w:val="ro-RO"/>
              </w:rPr>
              <w:t xml:space="preserve"> din sectorul public, cu efecte pozitive asupra calității </w:t>
            </w:r>
            <w:r>
              <w:rPr>
                <w:lang w:val="ro-RO"/>
              </w:rPr>
              <w:t>vieții angajaților din sectorul bugetar.</w:t>
            </w:r>
          </w:p>
        </w:tc>
      </w:tr>
      <w:tr w:rsidR="006F1E4B" w:rsidRPr="00FE5A58" w14:paraId="5A5DA428" w14:textId="77777777" w:rsidTr="002656DB">
        <w:tc>
          <w:tcPr>
            <w:tcW w:w="10031" w:type="dxa"/>
            <w:gridSpan w:val="7"/>
          </w:tcPr>
          <w:p w14:paraId="332DF896" w14:textId="77777777" w:rsidR="00A151EA" w:rsidRPr="00FE5A58" w:rsidRDefault="00A151EA" w:rsidP="000B618E">
            <w:pPr>
              <w:spacing w:line="276" w:lineRule="auto"/>
              <w:jc w:val="both"/>
              <w:rPr>
                <w:b/>
                <w:lang w:val="ro-RO"/>
              </w:rPr>
            </w:pPr>
            <w:r w:rsidRPr="00FE5A58">
              <w:rPr>
                <w:b/>
                <w:lang w:val="ro-RO"/>
              </w:rPr>
              <w:t xml:space="preserve">3.3. Impactul asupra drepturilor </w:t>
            </w:r>
            <w:proofErr w:type="spellStart"/>
            <w:r w:rsidRPr="00FE5A58">
              <w:rPr>
                <w:b/>
                <w:lang w:val="ro-RO"/>
              </w:rPr>
              <w:t>şi</w:t>
            </w:r>
            <w:proofErr w:type="spellEnd"/>
            <w:r w:rsidRPr="00FE5A58">
              <w:rPr>
                <w:b/>
                <w:lang w:val="ro-RO"/>
              </w:rPr>
              <w:t xml:space="preserve"> libertăților fundamentale ale omului   </w:t>
            </w:r>
          </w:p>
          <w:p w14:paraId="05A65D80" w14:textId="77777777" w:rsidR="00736F3F" w:rsidRPr="00FE5A58" w:rsidRDefault="00854328" w:rsidP="000B618E">
            <w:pPr>
              <w:spacing w:line="276" w:lineRule="auto"/>
              <w:jc w:val="both"/>
              <w:rPr>
                <w:color w:val="FF0000"/>
                <w:lang w:val="ro-RO"/>
              </w:rPr>
            </w:pPr>
            <w:r w:rsidRPr="00FE5A58">
              <w:rPr>
                <w:lang w:val="ro-RO"/>
              </w:rPr>
              <w:t>Proiectul de act normativ nu se referă la acest subiect.</w:t>
            </w:r>
          </w:p>
        </w:tc>
      </w:tr>
      <w:tr w:rsidR="006F1E4B" w:rsidRPr="00254ACD" w14:paraId="03CFE1EA" w14:textId="77777777" w:rsidTr="002656DB">
        <w:tc>
          <w:tcPr>
            <w:tcW w:w="10031" w:type="dxa"/>
            <w:gridSpan w:val="7"/>
          </w:tcPr>
          <w:p w14:paraId="556F7643" w14:textId="77777777" w:rsidR="00A151EA" w:rsidRPr="00FE5A58" w:rsidRDefault="00A151EA" w:rsidP="000B618E">
            <w:pPr>
              <w:spacing w:line="276" w:lineRule="auto"/>
              <w:jc w:val="both"/>
              <w:rPr>
                <w:b/>
                <w:bCs/>
                <w:color w:val="000000"/>
                <w:lang w:val="ro-RO"/>
              </w:rPr>
            </w:pPr>
            <w:r w:rsidRPr="00FE5A58">
              <w:rPr>
                <w:b/>
                <w:bCs/>
                <w:color w:val="000000"/>
                <w:lang w:val="ro-RO"/>
              </w:rPr>
              <w:t xml:space="preserve">3.4. Impactul macroeconomic </w:t>
            </w:r>
          </w:p>
          <w:p w14:paraId="3018B91D" w14:textId="77777777" w:rsidR="004C0469" w:rsidRPr="00FE5A58" w:rsidRDefault="00854328" w:rsidP="000B618E">
            <w:pPr>
              <w:spacing w:line="276" w:lineRule="auto"/>
              <w:jc w:val="both"/>
              <w:rPr>
                <w:bCs/>
                <w:color w:val="000000"/>
                <w:lang w:val="ro-RO"/>
              </w:rPr>
            </w:pPr>
            <w:r w:rsidRPr="00FE5A58">
              <w:rPr>
                <w:bCs/>
                <w:color w:val="000000"/>
                <w:lang w:val="ro-RO"/>
              </w:rPr>
              <w:t>Proiectul de act normativ nu se referă la acest subiect.</w:t>
            </w:r>
          </w:p>
          <w:p w14:paraId="3F826008" w14:textId="77777777" w:rsidR="00A151EA" w:rsidRPr="00FE5A58" w:rsidRDefault="00A151EA" w:rsidP="000B618E">
            <w:pPr>
              <w:spacing w:line="276" w:lineRule="auto"/>
              <w:jc w:val="both"/>
              <w:rPr>
                <w:b/>
                <w:bCs/>
                <w:color w:val="000000"/>
                <w:lang w:val="ro-RO"/>
              </w:rPr>
            </w:pPr>
            <w:r w:rsidRPr="00FE5A58">
              <w:rPr>
                <w:b/>
                <w:bCs/>
                <w:color w:val="000000"/>
                <w:lang w:val="ro-RO"/>
              </w:rPr>
              <w:t xml:space="preserve">3.4.1. Impactul asupra economiei </w:t>
            </w:r>
            <w:proofErr w:type="spellStart"/>
            <w:r w:rsidRPr="00FE5A58">
              <w:rPr>
                <w:b/>
                <w:bCs/>
                <w:color w:val="000000"/>
                <w:lang w:val="ro-RO"/>
              </w:rPr>
              <w:t>şi</w:t>
            </w:r>
            <w:proofErr w:type="spellEnd"/>
            <w:r w:rsidRPr="00FE5A58">
              <w:rPr>
                <w:b/>
                <w:bCs/>
                <w:color w:val="000000"/>
                <w:lang w:val="ro-RO"/>
              </w:rPr>
              <w:t xml:space="preserve"> asupra principalilor indicatori macroeconomici   </w:t>
            </w:r>
          </w:p>
          <w:p w14:paraId="07AAEC39" w14:textId="77777777" w:rsidR="00A151EA" w:rsidRPr="00FE5A58" w:rsidRDefault="00A151EA" w:rsidP="000B618E">
            <w:pPr>
              <w:spacing w:line="276" w:lineRule="auto"/>
              <w:jc w:val="both"/>
              <w:rPr>
                <w:bCs/>
                <w:color w:val="000000"/>
                <w:lang w:val="ro-RO"/>
              </w:rPr>
            </w:pPr>
            <w:r w:rsidRPr="00FE5A58">
              <w:rPr>
                <w:bCs/>
                <w:color w:val="000000"/>
                <w:lang w:val="ro-RO"/>
              </w:rPr>
              <w:t>Proiectul de act normativ nu se referă la acest subiect.</w:t>
            </w:r>
          </w:p>
          <w:p w14:paraId="43350DF7" w14:textId="77777777" w:rsidR="00A151EA" w:rsidRPr="00FE5A58" w:rsidRDefault="00A151EA" w:rsidP="000B618E">
            <w:pPr>
              <w:spacing w:line="276" w:lineRule="auto"/>
              <w:jc w:val="both"/>
              <w:rPr>
                <w:b/>
                <w:bCs/>
                <w:color w:val="000000"/>
                <w:lang w:val="ro-RO"/>
              </w:rPr>
            </w:pPr>
            <w:r w:rsidRPr="00FE5A58">
              <w:rPr>
                <w:b/>
                <w:bCs/>
                <w:color w:val="000000"/>
                <w:lang w:val="ro-RO"/>
              </w:rPr>
              <w:t xml:space="preserve">3.4.2. Impactul asupra mediului concurențial </w:t>
            </w:r>
            <w:proofErr w:type="spellStart"/>
            <w:r w:rsidRPr="00FE5A58">
              <w:rPr>
                <w:b/>
                <w:bCs/>
                <w:color w:val="000000"/>
                <w:lang w:val="ro-RO"/>
              </w:rPr>
              <w:t>şi</w:t>
            </w:r>
            <w:proofErr w:type="spellEnd"/>
            <w:r w:rsidRPr="00FE5A58">
              <w:rPr>
                <w:b/>
                <w:bCs/>
                <w:color w:val="000000"/>
                <w:lang w:val="ro-RO"/>
              </w:rPr>
              <w:t xml:space="preserve"> domeniul ajutoarelor de stat</w:t>
            </w:r>
          </w:p>
          <w:p w14:paraId="65658C9A" w14:textId="77777777" w:rsidR="00736F3F" w:rsidRPr="00FE5A58" w:rsidRDefault="00854328" w:rsidP="000B618E">
            <w:pPr>
              <w:spacing w:line="276" w:lineRule="auto"/>
              <w:jc w:val="both"/>
              <w:rPr>
                <w:bCs/>
                <w:color w:val="000000"/>
                <w:lang w:val="ro-RO"/>
              </w:rPr>
            </w:pPr>
            <w:r w:rsidRPr="00FE5A58">
              <w:rPr>
                <w:bCs/>
                <w:color w:val="000000"/>
                <w:lang w:val="ro-RO"/>
              </w:rPr>
              <w:t>Proiectul de act normativ nu se referă la acest subiect.</w:t>
            </w:r>
          </w:p>
        </w:tc>
      </w:tr>
      <w:tr w:rsidR="00A151EA" w:rsidRPr="00254ACD" w14:paraId="218915D2" w14:textId="77777777" w:rsidTr="002656DB">
        <w:tc>
          <w:tcPr>
            <w:tcW w:w="10031" w:type="dxa"/>
            <w:gridSpan w:val="7"/>
          </w:tcPr>
          <w:p w14:paraId="591A8C0C" w14:textId="77777777" w:rsidR="00A151EA" w:rsidRPr="00FE5A58" w:rsidRDefault="00A151EA" w:rsidP="000B618E">
            <w:pPr>
              <w:tabs>
                <w:tab w:val="left" w:pos="975"/>
              </w:tabs>
              <w:spacing w:line="276" w:lineRule="auto"/>
              <w:jc w:val="both"/>
              <w:rPr>
                <w:b/>
                <w:bCs/>
                <w:color w:val="000000"/>
                <w:lang w:val="ro-RO"/>
              </w:rPr>
            </w:pPr>
            <w:r w:rsidRPr="00FE5A58">
              <w:rPr>
                <w:b/>
                <w:bCs/>
                <w:color w:val="000000"/>
                <w:lang w:val="ro-RO"/>
              </w:rPr>
              <w:t>3.5. Impactul asupra mediului de afaceri</w:t>
            </w:r>
          </w:p>
          <w:p w14:paraId="6A7B917B" w14:textId="77777777" w:rsidR="00A151EA" w:rsidRPr="00FE5A58" w:rsidRDefault="00854328" w:rsidP="000B618E">
            <w:pPr>
              <w:tabs>
                <w:tab w:val="left" w:pos="975"/>
              </w:tabs>
              <w:spacing w:line="276" w:lineRule="auto"/>
              <w:jc w:val="both"/>
              <w:rPr>
                <w:bCs/>
                <w:color w:val="000000"/>
                <w:lang w:val="ro-RO"/>
              </w:rPr>
            </w:pPr>
            <w:r w:rsidRPr="00FE5A58">
              <w:rPr>
                <w:color w:val="000000"/>
                <w:lang w:val="ro-RO"/>
              </w:rPr>
              <w:t>Proiectul de act normativ nu se referă la acest subiect.</w:t>
            </w:r>
          </w:p>
        </w:tc>
      </w:tr>
      <w:tr w:rsidR="00A151EA" w:rsidRPr="00FE5A58" w14:paraId="3097BE9C" w14:textId="77777777" w:rsidTr="002656DB">
        <w:tc>
          <w:tcPr>
            <w:tcW w:w="10031" w:type="dxa"/>
            <w:gridSpan w:val="7"/>
          </w:tcPr>
          <w:p w14:paraId="2316CF9D" w14:textId="77777777" w:rsidR="00A151EA" w:rsidRPr="00FE5A58" w:rsidRDefault="00A151EA" w:rsidP="000B618E">
            <w:pPr>
              <w:tabs>
                <w:tab w:val="left" w:pos="975"/>
              </w:tabs>
              <w:spacing w:line="276" w:lineRule="auto"/>
              <w:jc w:val="both"/>
              <w:rPr>
                <w:b/>
                <w:bCs/>
                <w:color w:val="000000"/>
                <w:lang w:val="ro-RO"/>
              </w:rPr>
            </w:pPr>
            <w:r w:rsidRPr="00FE5A58">
              <w:rPr>
                <w:b/>
                <w:bCs/>
                <w:color w:val="000000"/>
                <w:lang w:val="ro-RO"/>
              </w:rPr>
              <w:t>3.6 Impactul asupra mediului înconjurător</w:t>
            </w:r>
          </w:p>
          <w:p w14:paraId="3D2787F6" w14:textId="77777777" w:rsidR="00A151EA" w:rsidRPr="00FE5A58" w:rsidRDefault="00A151EA" w:rsidP="000B618E">
            <w:pPr>
              <w:tabs>
                <w:tab w:val="left" w:pos="975"/>
              </w:tabs>
              <w:spacing w:line="276" w:lineRule="auto"/>
              <w:jc w:val="both"/>
              <w:rPr>
                <w:bCs/>
                <w:color w:val="000000"/>
                <w:lang w:val="ro-RO"/>
              </w:rPr>
            </w:pPr>
            <w:r w:rsidRPr="00FE5A58">
              <w:rPr>
                <w:bCs/>
                <w:color w:val="000000"/>
                <w:lang w:val="ro-RO"/>
              </w:rPr>
              <w:t>Proiectul de act normativ nu se referă la acest subiect.</w:t>
            </w:r>
          </w:p>
        </w:tc>
      </w:tr>
      <w:tr w:rsidR="00A151EA" w:rsidRPr="00254ACD" w14:paraId="483D64E7" w14:textId="77777777" w:rsidTr="002656DB">
        <w:tc>
          <w:tcPr>
            <w:tcW w:w="10031" w:type="dxa"/>
            <w:gridSpan w:val="7"/>
          </w:tcPr>
          <w:p w14:paraId="48784322" w14:textId="77777777" w:rsidR="00A151EA" w:rsidRPr="00FE5A58" w:rsidRDefault="00A151EA" w:rsidP="000B618E">
            <w:pPr>
              <w:tabs>
                <w:tab w:val="left" w:pos="975"/>
              </w:tabs>
              <w:spacing w:line="276" w:lineRule="auto"/>
              <w:jc w:val="both"/>
              <w:rPr>
                <w:b/>
                <w:bCs/>
                <w:color w:val="000000"/>
                <w:lang w:val="ro-RO"/>
              </w:rPr>
            </w:pPr>
            <w:r w:rsidRPr="00FE5A58">
              <w:rPr>
                <w:b/>
                <w:bCs/>
                <w:color w:val="000000"/>
                <w:lang w:val="ro-RO"/>
              </w:rPr>
              <w:t xml:space="preserve">3.7. Evaluarea costurilor </w:t>
            </w:r>
            <w:proofErr w:type="spellStart"/>
            <w:r w:rsidRPr="00FE5A58">
              <w:rPr>
                <w:b/>
                <w:bCs/>
                <w:color w:val="000000"/>
                <w:lang w:val="ro-RO"/>
              </w:rPr>
              <w:t>şi</w:t>
            </w:r>
            <w:proofErr w:type="spellEnd"/>
            <w:r w:rsidRPr="00FE5A58">
              <w:rPr>
                <w:b/>
                <w:bCs/>
                <w:color w:val="000000"/>
                <w:lang w:val="ro-RO"/>
              </w:rPr>
              <w:t xml:space="preserve"> beneficiilor din perspectiva inovării </w:t>
            </w:r>
            <w:proofErr w:type="spellStart"/>
            <w:r w:rsidRPr="00FE5A58">
              <w:rPr>
                <w:b/>
                <w:bCs/>
                <w:color w:val="000000"/>
                <w:lang w:val="ro-RO"/>
              </w:rPr>
              <w:t>şi</w:t>
            </w:r>
            <w:proofErr w:type="spellEnd"/>
            <w:r w:rsidRPr="00FE5A58">
              <w:rPr>
                <w:b/>
                <w:bCs/>
                <w:color w:val="000000"/>
                <w:lang w:val="ro-RO"/>
              </w:rPr>
              <w:t xml:space="preserve"> digitalizării</w:t>
            </w:r>
          </w:p>
          <w:p w14:paraId="48B44EBC" w14:textId="77777777" w:rsidR="00A151EA" w:rsidRPr="00FE5A58" w:rsidRDefault="00A151EA" w:rsidP="000B618E">
            <w:pPr>
              <w:tabs>
                <w:tab w:val="left" w:pos="975"/>
              </w:tabs>
              <w:spacing w:line="276" w:lineRule="auto"/>
              <w:jc w:val="both"/>
              <w:rPr>
                <w:bCs/>
                <w:color w:val="000000"/>
                <w:lang w:val="ro-RO"/>
              </w:rPr>
            </w:pPr>
            <w:r w:rsidRPr="00FE5A58">
              <w:rPr>
                <w:bCs/>
                <w:color w:val="000000"/>
                <w:lang w:val="ro-RO"/>
              </w:rPr>
              <w:t>Proiectul de act normativ nu se referă la acest subiect.</w:t>
            </w:r>
          </w:p>
        </w:tc>
      </w:tr>
      <w:tr w:rsidR="00A151EA" w:rsidRPr="00254ACD" w14:paraId="46150802" w14:textId="77777777" w:rsidTr="002656DB">
        <w:tc>
          <w:tcPr>
            <w:tcW w:w="10031" w:type="dxa"/>
            <w:gridSpan w:val="7"/>
          </w:tcPr>
          <w:p w14:paraId="7654CD41" w14:textId="77777777" w:rsidR="00A151EA" w:rsidRPr="00FE5A58" w:rsidRDefault="00A151EA" w:rsidP="000B618E">
            <w:pPr>
              <w:tabs>
                <w:tab w:val="left" w:pos="975"/>
              </w:tabs>
              <w:spacing w:line="276" w:lineRule="auto"/>
              <w:jc w:val="both"/>
              <w:rPr>
                <w:b/>
                <w:bCs/>
                <w:color w:val="000000"/>
                <w:lang w:val="ro-RO"/>
              </w:rPr>
            </w:pPr>
            <w:r w:rsidRPr="00FE5A58">
              <w:rPr>
                <w:b/>
                <w:bCs/>
                <w:color w:val="000000"/>
                <w:lang w:val="ro-RO"/>
              </w:rPr>
              <w:t xml:space="preserve">3.8. Evaluarea costurilor </w:t>
            </w:r>
            <w:proofErr w:type="spellStart"/>
            <w:r w:rsidRPr="00FE5A58">
              <w:rPr>
                <w:b/>
                <w:bCs/>
                <w:color w:val="000000"/>
                <w:lang w:val="ro-RO"/>
              </w:rPr>
              <w:t>şi</w:t>
            </w:r>
            <w:proofErr w:type="spellEnd"/>
            <w:r w:rsidRPr="00FE5A58">
              <w:rPr>
                <w:b/>
                <w:bCs/>
                <w:color w:val="000000"/>
                <w:lang w:val="ro-RO"/>
              </w:rPr>
              <w:t xml:space="preserve"> beneficiilor din perspectiva dezvoltării durabile</w:t>
            </w:r>
          </w:p>
          <w:p w14:paraId="2E532090" w14:textId="77777777" w:rsidR="00A151EA" w:rsidRPr="00FE5A58" w:rsidRDefault="00A151EA" w:rsidP="000B618E">
            <w:pPr>
              <w:tabs>
                <w:tab w:val="left" w:pos="975"/>
              </w:tabs>
              <w:spacing w:line="276" w:lineRule="auto"/>
              <w:jc w:val="both"/>
              <w:rPr>
                <w:bCs/>
                <w:color w:val="000000"/>
                <w:lang w:val="ro-RO"/>
              </w:rPr>
            </w:pPr>
            <w:r w:rsidRPr="00FE5A58">
              <w:rPr>
                <w:b/>
                <w:bCs/>
                <w:color w:val="000000"/>
                <w:lang w:val="ro-RO"/>
              </w:rPr>
              <w:t xml:space="preserve"> </w:t>
            </w:r>
            <w:r w:rsidRPr="00FE5A58">
              <w:rPr>
                <w:bCs/>
                <w:color w:val="000000"/>
                <w:lang w:val="ro-RO"/>
              </w:rPr>
              <w:t>Proiectul de act normativ nu se referă la acest subiec</w:t>
            </w:r>
            <w:r w:rsidR="00B9330E" w:rsidRPr="00FE5A58">
              <w:rPr>
                <w:bCs/>
                <w:color w:val="000000"/>
                <w:lang w:val="ro-RO"/>
              </w:rPr>
              <w:t>t.</w:t>
            </w:r>
          </w:p>
        </w:tc>
      </w:tr>
      <w:tr w:rsidR="00A151EA" w:rsidRPr="00254ACD" w14:paraId="175849BD" w14:textId="77777777" w:rsidTr="002656DB">
        <w:tc>
          <w:tcPr>
            <w:tcW w:w="10031" w:type="dxa"/>
            <w:gridSpan w:val="7"/>
          </w:tcPr>
          <w:p w14:paraId="2FE10A72" w14:textId="77777777" w:rsidR="00A151EA" w:rsidRPr="00FE5A58" w:rsidRDefault="00A151EA" w:rsidP="000B618E">
            <w:pPr>
              <w:tabs>
                <w:tab w:val="left" w:pos="975"/>
              </w:tabs>
              <w:spacing w:line="276" w:lineRule="auto"/>
              <w:jc w:val="both"/>
              <w:rPr>
                <w:b/>
                <w:bCs/>
                <w:color w:val="000000"/>
                <w:lang w:val="ro-RO"/>
              </w:rPr>
            </w:pPr>
            <w:r w:rsidRPr="00FE5A58">
              <w:rPr>
                <w:b/>
                <w:bCs/>
                <w:color w:val="000000"/>
                <w:lang w:val="ro-RO"/>
              </w:rPr>
              <w:t xml:space="preserve">3.9. Alte </w:t>
            </w:r>
            <w:proofErr w:type="spellStart"/>
            <w:r w:rsidRPr="00FE5A58">
              <w:rPr>
                <w:b/>
                <w:bCs/>
                <w:color w:val="000000"/>
                <w:lang w:val="ro-RO"/>
              </w:rPr>
              <w:t>informaţii</w:t>
            </w:r>
            <w:proofErr w:type="spellEnd"/>
          </w:p>
          <w:p w14:paraId="675A8975" w14:textId="77777777" w:rsidR="00A151EA" w:rsidRPr="00FE5A58" w:rsidRDefault="00A151EA" w:rsidP="000B618E">
            <w:pPr>
              <w:tabs>
                <w:tab w:val="left" w:pos="975"/>
              </w:tabs>
              <w:spacing w:line="276" w:lineRule="auto"/>
              <w:jc w:val="both"/>
              <w:rPr>
                <w:bCs/>
                <w:color w:val="000000"/>
                <w:lang w:val="ro-RO"/>
              </w:rPr>
            </w:pPr>
            <w:r w:rsidRPr="00FE5A58">
              <w:rPr>
                <w:b/>
                <w:bCs/>
                <w:color w:val="000000"/>
                <w:lang w:val="ro-RO"/>
              </w:rPr>
              <w:t xml:space="preserve"> </w:t>
            </w:r>
            <w:r w:rsidRPr="00FE5A58">
              <w:rPr>
                <w:bCs/>
                <w:color w:val="000000"/>
                <w:lang w:val="ro-RO"/>
              </w:rPr>
              <w:t>Nu este cazul.</w:t>
            </w:r>
          </w:p>
        </w:tc>
      </w:tr>
      <w:tr w:rsidR="006F1E4B" w:rsidRPr="00FE5A58" w14:paraId="6082FBE9" w14:textId="77777777" w:rsidTr="002656DB">
        <w:tc>
          <w:tcPr>
            <w:tcW w:w="10031" w:type="dxa"/>
            <w:gridSpan w:val="7"/>
          </w:tcPr>
          <w:p w14:paraId="31119148" w14:textId="77777777" w:rsidR="00375B03" w:rsidRPr="00FE5A58" w:rsidRDefault="00375B03" w:rsidP="000B618E">
            <w:pPr>
              <w:spacing w:line="276" w:lineRule="auto"/>
              <w:jc w:val="center"/>
              <w:rPr>
                <w:b/>
                <w:color w:val="000000"/>
                <w:lang w:val="ro-RO"/>
              </w:rPr>
            </w:pPr>
            <w:proofErr w:type="spellStart"/>
            <w:r w:rsidRPr="00FE5A58">
              <w:rPr>
                <w:b/>
                <w:color w:val="000000"/>
                <w:lang w:val="ro-RO"/>
              </w:rPr>
              <w:t>Secţiunea</w:t>
            </w:r>
            <w:proofErr w:type="spellEnd"/>
            <w:r w:rsidRPr="00FE5A58">
              <w:rPr>
                <w:b/>
                <w:color w:val="000000"/>
                <w:lang w:val="ro-RO"/>
              </w:rPr>
              <w:t xml:space="preserve"> a 4-a</w:t>
            </w:r>
          </w:p>
          <w:p w14:paraId="09FF44C9" w14:textId="77777777" w:rsidR="00375B03" w:rsidRPr="00FE5A58" w:rsidRDefault="00375B03" w:rsidP="000B618E">
            <w:pPr>
              <w:spacing w:line="276" w:lineRule="auto"/>
              <w:jc w:val="center"/>
              <w:rPr>
                <w:b/>
                <w:color w:val="000000"/>
                <w:lang w:val="ro-RO"/>
              </w:rPr>
            </w:pPr>
            <w:r w:rsidRPr="00FE5A58">
              <w:rPr>
                <w:b/>
                <w:color w:val="000000"/>
                <w:lang w:val="ro-RO"/>
              </w:rPr>
              <w:t>Impactul financiar asupra bugetului general consolidat,</w:t>
            </w:r>
          </w:p>
          <w:p w14:paraId="20FE8D64" w14:textId="77777777" w:rsidR="00526B38" w:rsidRPr="00FE5A58" w:rsidRDefault="00375B03" w:rsidP="00846A49">
            <w:pPr>
              <w:spacing w:line="276" w:lineRule="auto"/>
              <w:jc w:val="center"/>
              <w:rPr>
                <w:b/>
                <w:color w:val="000000"/>
                <w:lang w:val="ro-RO"/>
              </w:rPr>
            </w:pPr>
            <w:r w:rsidRPr="00FE5A58">
              <w:rPr>
                <w:b/>
                <w:color w:val="000000"/>
                <w:lang w:val="ro-RO"/>
              </w:rPr>
              <w:t xml:space="preserve">atât pe termen scurt, pentru anul curent, cât </w:t>
            </w:r>
            <w:proofErr w:type="spellStart"/>
            <w:r w:rsidRPr="00FE5A58">
              <w:rPr>
                <w:b/>
                <w:color w:val="000000"/>
                <w:lang w:val="ro-RO"/>
              </w:rPr>
              <w:t>şi</w:t>
            </w:r>
            <w:proofErr w:type="spellEnd"/>
            <w:r w:rsidRPr="00FE5A58">
              <w:rPr>
                <w:b/>
                <w:color w:val="000000"/>
                <w:lang w:val="ro-RO"/>
              </w:rPr>
              <w:t xml:space="preserve"> pe termen lung (pe 5 ani)</w:t>
            </w:r>
          </w:p>
        </w:tc>
      </w:tr>
      <w:tr w:rsidR="006F1E4B" w:rsidRPr="00FE5A58" w14:paraId="5252E6BC" w14:textId="77777777" w:rsidTr="002656DB">
        <w:tc>
          <w:tcPr>
            <w:tcW w:w="10031" w:type="dxa"/>
            <w:gridSpan w:val="7"/>
          </w:tcPr>
          <w:p w14:paraId="1C06F788" w14:textId="77777777" w:rsidR="00375B03" w:rsidRPr="00FE5A58" w:rsidRDefault="00375B03" w:rsidP="000B618E">
            <w:pPr>
              <w:spacing w:line="276" w:lineRule="auto"/>
              <w:jc w:val="right"/>
              <w:rPr>
                <w:color w:val="000000"/>
                <w:lang w:val="ro-RO"/>
              </w:rPr>
            </w:pPr>
            <w:r w:rsidRPr="00FE5A58">
              <w:rPr>
                <w:color w:val="000000"/>
                <w:lang w:val="ro-RO"/>
              </w:rPr>
              <w:t>- în</w:t>
            </w:r>
            <w:r w:rsidR="006B317B" w:rsidRPr="00FE5A58">
              <w:rPr>
                <w:color w:val="000000"/>
                <w:lang w:val="ro-RO"/>
              </w:rPr>
              <w:t xml:space="preserve"> mii</w:t>
            </w:r>
            <w:r w:rsidR="007F2182" w:rsidRPr="00FE5A58">
              <w:rPr>
                <w:color w:val="000000"/>
                <w:lang w:val="ro-RO"/>
              </w:rPr>
              <w:t xml:space="preserve"> </w:t>
            </w:r>
            <w:r w:rsidRPr="00FE5A58">
              <w:rPr>
                <w:color w:val="000000"/>
                <w:lang w:val="ro-RO"/>
              </w:rPr>
              <w:t>lei (RON) -</w:t>
            </w:r>
          </w:p>
        </w:tc>
      </w:tr>
      <w:tr w:rsidR="00F37FD7" w:rsidRPr="00FE5A58" w14:paraId="54222EB1" w14:textId="77777777" w:rsidTr="00846A49">
        <w:tc>
          <w:tcPr>
            <w:tcW w:w="2680" w:type="dxa"/>
          </w:tcPr>
          <w:p w14:paraId="516A9B54" w14:textId="77777777" w:rsidR="00375B03" w:rsidRPr="00FE5A58" w:rsidRDefault="00375B03" w:rsidP="000B618E">
            <w:pPr>
              <w:spacing w:line="276" w:lineRule="auto"/>
              <w:jc w:val="center"/>
              <w:rPr>
                <w:color w:val="000000"/>
                <w:lang w:val="ro-RO"/>
              </w:rPr>
            </w:pPr>
            <w:r w:rsidRPr="00FE5A58">
              <w:rPr>
                <w:color w:val="000000"/>
                <w:lang w:val="ro-RO"/>
              </w:rPr>
              <w:t>Indicatori</w:t>
            </w:r>
          </w:p>
        </w:tc>
        <w:tc>
          <w:tcPr>
            <w:tcW w:w="1065" w:type="dxa"/>
          </w:tcPr>
          <w:p w14:paraId="01D5C7FA" w14:textId="77777777" w:rsidR="00375B03" w:rsidRPr="00FE5A58" w:rsidRDefault="00375B03" w:rsidP="000B618E">
            <w:pPr>
              <w:spacing w:line="276" w:lineRule="auto"/>
              <w:jc w:val="center"/>
              <w:rPr>
                <w:color w:val="000000"/>
                <w:lang w:val="ro-RO"/>
              </w:rPr>
            </w:pPr>
            <w:r w:rsidRPr="00FE5A58">
              <w:rPr>
                <w:color w:val="000000"/>
                <w:lang w:val="ro-RO"/>
              </w:rPr>
              <w:t>Anul curent</w:t>
            </w:r>
          </w:p>
        </w:tc>
        <w:tc>
          <w:tcPr>
            <w:tcW w:w="5068" w:type="dxa"/>
            <w:gridSpan w:val="4"/>
          </w:tcPr>
          <w:p w14:paraId="016568DD" w14:textId="77777777" w:rsidR="00375B03" w:rsidRPr="00FE5A58" w:rsidRDefault="00375B03" w:rsidP="000B618E">
            <w:pPr>
              <w:spacing w:line="276" w:lineRule="auto"/>
              <w:jc w:val="center"/>
              <w:rPr>
                <w:color w:val="000000"/>
                <w:lang w:val="ro-RO"/>
              </w:rPr>
            </w:pPr>
            <w:r w:rsidRPr="00FE5A58">
              <w:rPr>
                <w:color w:val="000000"/>
                <w:lang w:val="ro-RO"/>
              </w:rPr>
              <w:t>Următorii patru ani</w:t>
            </w:r>
          </w:p>
        </w:tc>
        <w:tc>
          <w:tcPr>
            <w:tcW w:w="1218" w:type="dxa"/>
          </w:tcPr>
          <w:p w14:paraId="2A748BC1" w14:textId="77777777" w:rsidR="00375B03" w:rsidRPr="00FE5A58" w:rsidRDefault="00375B03" w:rsidP="000B618E">
            <w:pPr>
              <w:spacing w:line="276" w:lineRule="auto"/>
              <w:jc w:val="center"/>
              <w:rPr>
                <w:color w:val="000000"/>
                <w:lang w:val="ro-RO"/>
              </w:rPr>
            </w:pPr>
            <w:r w:rsidRPr="00FE5A58">
              <w:rPr>
                <w:color w:val="000000"/>
                <w:lang w:val="ro-RO"/>
              </w:rPr>
              <w:t xml:space="preserve">Media pe cinci ani </w:t>
            </w:r>
          </w:p>
        </w:tc>
      </w:tr>
      <w:tr w:rsidR="00F37FD7" w:rsidRPr="00FE5A58" w14:paraId="21043713" w14:textId="77777777" w:rsidTr="00846A49">
        <w:tc>
          <w:tcPr>
            <w:tcW w:w="2680" w:type="dxa"/>
          </w:tcPr>
          <w:p w14:paraId="3E662341" w14:textId="77777777" w:rsidR="00375B03" w:rsidRPr="00FE5A58" w:rsidRDefault="00375B03" w:rsidP="000B618E">
            <w:pPr>
              <w:spacing w:line="276" w:lineRule="auto"/>
              <w:jc w:val="center"/>
              <w:rPr>
                <w:color w:val="000000"/>
                <w:lang w:val="ro-RO"/>
              </w:rPr>
            </w:pPr>
          </w:p>
        </w:tc>
        <w:tc>
          <w:tcPr>
            <w:tcW w:w="1065" w:type="dxa"/>
          </w:tcPr>
          <w:p w14:paraId="6F633E1E" w14:textId="77777777" w:rsidR="00375B03" w:rsidRPr="00FE5A58" w:rsidRDefault="00375B03" w:rsidP="000B618E">
            <w:pPr>
              <w:spacing w:line="276" w:lineRule="auto"/>
              <w:jc w:val="center"/>
              <w:rPr>
                <w:color w:val="000000"/>
                <w:lang w:val="ro-RO"/>
              </w:rPr>
            </w:pPr>
            <w:r w:rsidRPr="00FE5A58">
              <w:rPr>
                <w:color w:val="000000"/>
                <w:lang w:val="ro-RO"/>
              </w:rPr>
              <w:t>2</w:t>
            </w:r>
            <w:r w:rsidR="00913978" w:rsidRPr="00FE5A58">
              <w:rPr>
                <w:color w:val="000000"/>
                <w:lang w:val="ro-RO"/>
              </w:rPr>
              <w:t>026</w:t>
            </w:r>
          </w:p>
        </w:tc>
        <w:tc>
          <w:tcPr>
            <w:tcW w:w="1132" w:type="dxa"/>
          </w:tcPr>
          <w:p w14:paraId="4D52E601" w14:textId="77777777" w:rsidR="00375B03" w:rsidRPr="00FE5A58" w:rsidRDefault="00913978" w:rsidP="000B618E">
            <w:pPr>
              <w:spacing w:line="276" w:lineRule="auto"/>
              <w:jc w:val="center"/>
              <w:rPr>
                <w:color w:val="000000"/>
                <w:lang w:val="ro-RO"/>
              </w:rPr>
            </w:pPr>
            <w:r w:rsidRPr="00FE5A58">
              <w:rPr>
                <w:color w:val="000000"/>
                <w:lang w:val="ro-RO"/>
              </w:rPr>
              <w:t>2027</w:t>
            </w:r>
          </w:p>
        </w:tc>
        <w:tc>
          <w:tcPr>
            <w:tcW w:w="1312" w:type="dxa"/>
          </w:tcPr>
          <w:p w14:paraId="004E9DCB" w14:textId="77777777" w:rsidR="00375B03" w:rsidRPr="00FE5A58" w:rsidRDefault="00913978" w:rsidP="000B618E">
            <w:pPr>
              <w:spacing w:line="276" w:lineRule="auto"/>
              <w:jc w:val="center"/>
              <w:rPr>
                <w:color w:val="000000"/>
                <w:lang w:val="ro-RO"/>
              </w:rPr>
            </w:pPr>
            <w:r w:rsidRPr="00FE5A58">
              <w:rPr>
                <w:color w:val="000000"/>
                <w:lang w:val="ro-RO"/>
              </w:rPr>
              <w:t>2028</w:t>
            </w:r>
          </w:p>
        </w:tc>
        <w:tc>
          <w:tcPr>
            <w:tcW w:w="1312" w:type="dxa"/>
          </w:tcPr>
          <w:p w14:paraId="630817A9" w14:textId="77777777" w:rsidR="00375B03" w:rsidRPr="00FE5A58" w:rsidRDefault="00913978" w:rsidP="000B618E">
            <w:pPr>
              <w:spacing w:line="276" w:lineRule="auto"/>
              <w:jc w:val="center"/>
              <w:rPr>
                <w:color w:val="000000"/>
                <w:lang w:val="ro-RO"/>
              </w:rPr>
            </w:pPr>
            <w:r w:rsidRPr="00FE5A58">
              <w:rPr>
                <w:color w:val="000000"/>
                <w:lang w:val="ro-RO"/>
              </w:rPr>
              <w:t>2029</w:t>
            </w:r>
          </w:p>
        </w:tc>
        <w:tc>
          <w:tcPr>
            <w:tcW w:w="1312" w:type="dxa"/>
          </w:tcPr>
          <w:p w14:paraId="4880A0F6" w14:textId="77777777" w:rsidR="00375B03" w:rsidRPr="00FE5A58" w:rsidRDefault="00913978" w:rsidP="000B618E">
            <w:pPr>
              <w:spacing w:line="276" w:lineRule="auto"/>
              <w:jc w:val="center"/>
              <w:rPr>
                <w:color w:val="000000"/>
                <w:lang w:val="ro-RO"/>
              </w:rPr>
            </w:pPr>
            <w:r w:rsidRPr="00FE5A58">
              <w:rPr>
                <w:color w:val="000000"/>
                <w:lang w:val="ro-RO"/>
              </w:rPr>
              <w:t>2030</w:t>
            </w:r>
          </w:p>
        </w:tc>
        <w:tc>
          <w:tcPr>
            <w:tcW w:w="1218" w:type="dxa"/>
          </w:tcPr>
          <w:p w14:paraId="09ABDB2E" w14:textId="77777777" w:rsidR="00375B03" w:rsidRPr="00FE5A58" w:rsidRDefault="00375B03" w:rsidP="000B618E">
            <w:pPr>
              <w:spacing w:line="276" w:lineRule="auto"/>
              <w:jc w:val="center"/>
              <w:rPr>
                <w:color w:val="000000"/>
                <w:lang w:val="ro-RO"/>
              </w:rPr>
            </w:pPr>
          </w:p>
        </w:tc>
      </w:tr>
      <w:tr w:rsidR="00846A49" w:rsidRPr="00FE5A58" w14:paraId="3E440A0C" w14:textId="77777777" w:rsidTr="00846A49">
        <w:trPr>
          <w:trHeight w:val="168"/>
        </w:trPr>
        <w:tc>
          <w:tcPr>
            <w:tcW w:w="2680" w:type="dxa"/>
          </w:tcPr>
          <w:p w14:paraId="39C192B1" w14:textId="77777777" w:rsidR="00846A49" w:rsidRPr="00FE5A58" w:rsidRDefault="004B7BE6" w:rsidP="00846A49">
            <w:pPr>
              <w:rPr>
                <w:color w:val="000000"/>
                <w:lang w:val="ro-RO"/>
              </w:rPr>
            </w:pPr>
            <w:r w:rsidRPr="00FE5A58">
              <w:rPr>
                <w:color w:val="000000"/>
                <w:lang w:val="ro-RO"/>
              </w:rPr>
              <w:t>4.</w:t>
            </w:r>
            <w:r w:rsidR="00846A49" w:rsidRPr="00FE5A58">
              <w:rPr>
                <w:color w:val="000000"/>
                <w:lang w:val="ro-RO"/>
              </w:rPr>
              <w:t>1. Modificări ale veniturilor bugetare, plus/minus, din care:</w:t>
            </w:r>
          </w:p>
          <w:p w14:paraId="52257262" w14:textId="77777777" w:rsidR="00846A49" w:rsidRPr="00FE5A58" w:rsidRDefault="00846A49" w:rsidP="00846A49">
            <w:pPr>
              <w:rPr>
                <w:color w:val="000000"/>
                <w:lang w:val="ro-RO"/>
              </w:rPr>
            </w:pPr>
            <w:r w:rsidRPr="00FE5A58">
              <w:rPr>
                <w:color w:val="000000"/>
                <w:lang w:val="ro-RO"/>
              </w:rPr>
              <w:t>a) buget de stat, din acesta:</w:t>
            </w:r>
          </w:p>
          <w:p w14:paraId="01A1EA87" w14:textId="77777777" w:rsidR="00846A49" w:rsidRPr="00FE5A58" w:rsidRDefault="00846A49" w:rsidP="00846A49">
            <w:pPr>
              <w:numPr>
                <w:ilvl w:val="0"/>
                <w:numId w:val="1"/>
              </w:numPr>
              <w:rPr>
                <w:color w:val="000000"/>
                <w:lang w:val="ro-RO"/>
              </w:rPr>
            </w:pPr>
            <w:r w:rsidRPr="00FE5A58">
              <w:rPr>
                <w:color w:val="000000"/>
                <w:lang w:val="ro-RO"/>
              </w:rPr>
              <w:t>impozit pe profit</w:t>
            </w:r>
          </w:p>
          <w:p w14:paraId="3BAEF71D" w14:textId="77777777" w:rsidR="00846A49" w:rsidRPr="00FE5A58" w:rsidRDefault="00846A49" w:rsidP="00846A49">
            <w:pPr>
              <w:numPr>
                <w:ilvl w:val="0"/>
                <w:numId w:val="1"/>
              </w:numPr>
              <w:rPr>
                <w:color w:val="000000"/>
                <w:lang w:val="ro-RO"/>
              </w:rPr>
            </w:pPr>
            <w:r w:rsidRPr="00FE5A58">
              <w:rPr>
                <w:color w:val="000000"/>
                <w:lang w:val="ro-RO"/>
              </w:rPr>
              <w:t>impozit pe venit</w:t>
            </w:r>
          </w:p>
          <w:p w14:paraId="424AE49C" w14:textId="77777777" w:rsidR="00846A49" w:rsidRPr="00FE5A58" w:rsidRDefault="00846A49" w:rsidP="00846A49">
            <w:pPr>
              <w:numPr>
                <w:ilvl w:val="0"/>
                <w:numId w:val="1"/>
              </w:numPr>
              <w:rPr>
                <w:color w:val="000000"/>
                <w:lang w:val="ro-RO"/>
              </w:rPr>
            </w:pPr>
            <w:r w:rsidRPr="00FE5A58">
              <w:rPr>
                <w:color w:val="000000"/>
                <w:lang w:val="ro-RO"/>
              </w:rPr>
              <w:t>CASS</w:t>
            </w:r>
          </w:p>
          <w:p w14:paraId="4E310824" w14:textId="77777777" w:rsidR="00846A49" w:rsidRPr="00FE5A58" w:rsidRDefault="00846A49" w:rsidP="00846A49">
            <w:pPr>
              <w:rPr>
                <w:color w:val="000000"/>
                <w:lang w:val="ro-RO"/>
              </w:rPr>
            </w:pPr>
            <w:r w:rsidRPr="00FE5A58">
              <w:rPr>
                <w:color w:val="000000"/>
                <w:lang w:val="ro-RO"/>
              </w:rPr>
              <w:t>b) bugete locale</w:t>
            </w:r>
          </w:p>
          <w:p w14:paraId="4A123441" w14:textId="77777777" w:rsidR="00846A49" w:rsidRPr="00FE5A58" w:rsidRDefault="00846A49" w:rsidP="00846A49">
            <w:pPr>
              <w:numPr>
                <w:ilvl w:val="0"/>
                <w:numId w:val="2"/>
              </w:numPr>
              <w:rPr>
                <w:color w:val="000000"/>
                <w:lang w:val="ro-RO"/>
              </w:rPr>
            </w:pPr>
            <w:r w:rsidRPr="00FE5A58">
              <w:rPr>
                <w:color w:val="000000"/>
                <w:lang w:val="ro-RO"/>
              </w:rPr>
              <w:t>impozit pe profit</w:t>
            </w:r>
          </w:p>
          <w:p w14:paraId="376B8006" w14:textId="77777777" w:rsidR="00846A49" w:rsidRPr="00FE5A58" w:rsidRDefault="00846A49" w:rsidP="00846A49">
            <w:pPr>
              <w:rPr>
                <w:color w:val="000000"/>
                <w:lang w:val="ro-RO"/>
              </w:rPr>
            </w:pPr>
            <w:r w:rsidRPr="00FE5A58">
              <w:rPr>
                <w:color w:val="000000"/>
                <w:lang w:val="ro-RO"/>
              </w:rPr>
              <w:t>c) bugetul asigurărilor sociale de stat:</w:t>
            </w:r>
          </w:p>
          <w:p w14:paraId="321B3AED" w14:textId="77777777" w:rsidR="00846A49" w:rsidRPr="00FE5A58" w:rsidRDefault="00846A49" w:rsidP="00846A49">
            <w:pPr>
              <w:numPr>
                <w:ilvl w:val="0"/>
                <w:numId w:val="3"/>
              </w:numPr>
              <w:rPr>
                <w:color w:val="000000"/>
                <w:lang w:val="ro-RO"/>
              </w:rPr>
            </w:pPr>
            <w:r w:rsidRPr="00FE5A58">
              <w:rPr>
                <w:color w:val="000000"/>
                <w:lang w:val="ro-RO"/>
              </w:rPr>
              <w:t>contribuții de asigurări</w:t>
            </w:r>
          </w:p>
        </w:tc>
        <w:tc>
          <w:tcPr>
            <w:tcW w:w="1065" w:type="dxa"/>
          </w:tcPr>
          <w:p w14:paraId="59B05A48"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132" w:type="dxa"/>
          </w:tcPr>
          <w:p w14:paraId="5D84613C" w14:textId="77777777" w:rsidR="00846A49" w:rsidRPr="00FE5A58" w:rsidRDefault="004B7BE6" w:rsidP="004B7BE6">
            <w:pPr>
              <w:pStyle w:val="Header"/>
              <w:tabs>
                <w:tab w:val="left" w:pos="720"/>
              </w:tabs>
              <w:spacing w:line="276" w:lineRule="auto"/>
              <w:jc w:val="center"/>
              <w:rPr>
                <w:rFonts w:ascii="Times New Roman" w:hAnsi="Times New Roman"/>
                <w:b/>
                <w:color w:val="000000"/>
                <w:sz w:val="24"/>
                <w:szCs w:val="24"/>
                <w:lang w:val="ro-RO" w:eastAsia="en-US"/>
              </w:rPr>
            </w:pPr>
            <w:r w:rsidRPr="00FE5A58">
              <w:rPr>
                <w:rFonts w:ascii="Times New Roman" w:hAnsi="Times New Roman"/>
                <w:b/>
                <w:color w:val="000000"/>
                <w:sz w:val="24"/>
                <w:szCs w:val="24"/>
                <w:lang w:val="ro-RO" w:eastAsia="en-US"/>
              </w:rPr>
              <w:t>-</w:t>
            </w:r>
          </w:p>
        </w:tc>
        <w:tc>
          <w:tcPr>
            <w:tcW w:w="1312" w:type="dxa"/>
          </w:tcPr>
          <w:p w14:paraId="3A9315E9"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37BC60B0"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50D61FFF"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218" w:type="dxa"/>
          </w:tcPr>
          <w:p w14:paraId="41964E3B" w14:textId="77777777" w:rsidR="00846A49" w:rsidRPr="00FE5A58" w:rsidRDefault="004B7BE6" w:rsidP="004B7BE6">
            <w:pPr>
              <w:spacing w:line="276" w:lineRule="auto"/>
              <w:jc w:val="center"/>
              <w:rPr>
                <w:b/>
                <w:color w:val="000000"/>
                <w:lang w:val="ro-RO"/>
              </w:rPr>
            </w:pPr>
            <w:r w:rsidRPr="00FE5A58">
              <w:rPr>
                <w:b/>
                <w:color w:val="000000"/>
                <w:lang w:val="ro-RO"/>
              </w:rPr>
              <w:t>-</w:t>
            </w:r>
          </w:p>
        </w:tc>
      </w:tr>
      <w:tr w:rsidR="00846A49" w:rsidRPr="00FE5A58" w14:paraId="581E2E85" w14:textId="77777777" w:rsidTr="00846A49">
        <w:trPr>
          <w:trHeight w:val="417"/>
        </w:trPr>
        <w:tc>
          <w:tcPr>
            <w:tcW w:w="2680" w:type="dxa"/>
          </w:tcPr>
          <w:p w14:paraId="53423551" w14:textId="77777777" w:rsidR="00846A49" w:rsidRPr="00FE5A58" w:rsidRDefault="004B7BE6" w:rsidP="00846A49">
            <w:pPr>
              <w:rPr>
                <w:color w:val="000000"/>
                <w:lang w:val="ro-RO"/>
              </w:rPr>
            </w:pPr>
            <w:r w:rsidRPr="00FE5A58">
              <w:rPr>
                <w:bCs/>
                <w:color w:val="000000"/>
                <w:lang w:val="ro-RO"/>
              </w:rPr>
              <w:t>4.</w:t>
            </w:r>
            <w:r w:rsidR="00846A49" w:rsidRPr="00FE5A58">
              <w:rPr>
                <w:bCs/>
                <w:color w:val="000000"/>
                <w:lang w:val="ro-RO"/>
              </w:rPr>
              <w:t xml:space="preserve">2. </w:t>
            </w:r>
            <w:r w:rsidR="00846A49" w:rsidRPr="00FE5A58">
              <w:rPr>
                <w:color w:val="000000"/>
                <w:lang w:val="ro-RO"/>
              </w:rPr>
              <w:t>Modificări ale cheltuielilor bugetare, plus/minus, din care:</w:t>
            </w:r>
          </w:p>
          <w:p w14:paraId="2E043ECA" w14:textId="77777777" w:rsidR="00846A49" w:rsidRPr="00FE5A58" w:rsidRDefault="00846A49" w:rsidP="00846A49">
            <w:pPr>
              <w:rPr>
                <w:color w:val="000000"/>
                <w:lang w:val="ro-RO"/>
              </w:rPr>
            </w:pPr>
            <w:r w:rsidRPr="00FE5A58">
              <w:rPr>
                <w:color w:val="000000"/>
                <w:lang w:val="ro-RO"/>
              </w:rPr>
              <w:t>a) buget de stat, din acesta:</w:t>
            </w:r>
          </w:p>
          <w:p w14:paraId="73E9A778" w14:textId="77777777" w:rsidR="00846A49" w:rsidRPr="00FE5A58" w:rsidRDefault="00846A49" w:rsidP="00846A49">
            <w:pPr>
              <w:numPr>
                <w:ilvl w:val="0"/>
                <w:numId w:val="4"/>
              </w:numPr>
              <w:rPr>
                <w:color w:val="000000"/>
                <w:lang w:val="ro-RO"/>
              </w:rPr>
            </w:pPr>
            <w:r w:rsidRPr="00FE5A58">
              <w:rPr>
                <w:color w:val="000000"/>
                <w:lang w:val="ro-RO"/>
              </w:rPr>
              <w:t>cheltuieli de personal</w:t>
            </w:r>
          </w:p>
          <w:p w14:paraId="65CA897F" w14:textId="77777777" w:rsidR="00846A49" w:rsidRPr="00FE5A58" w:rsidRDefault="00846A49" w:rsidP="00846A49">
            <w:pPr>
              <w:numPr>
                <w:ilvl w:val="0"/>
                <w:numId w:val="4"/>
              </w:numPr>
              <w:rPr>
                <w:color w:val="000000"/>
                <w:lang w:val="ro-RO"/>
              </w:rPr>
            </w:pPr>
            <w:r w:rsidRPr="00FE5A58">
              <w:rPr>
                <w:color w:val="000000"/>
                <w:lang w:val="ro-RO"/>
              </w:rPr>
              <w:lastRenderedPageBreak/>
              <w:t xml:space="preserve">bunuri </w:t>
            </w:r>
            <w:proofErr w:type="spellStart"/>
            <w:r w:rsidRPr="00FE5A58">
              <w:rPr>
                <w:color w:val="000000"/>
                <w:lang w:val="ro-RO"/>
              </w:rPr>
              <w:t>şi</w:t>
            </w:r>
            <w:proofErr w:type="spellEnd"/>
            <w:r w:rsidRPr="00FE5A58">
              <w:rPr>
                <w:color w:val="000000"/>
                <w:lang w:val="ro-RO"/>
              </w:rPr>
              <w:t xml:space="preserve"> servicii</w:t>
            </w:r>
          </w:p>
          <w:p w14:paraId="2609C459" w14:textId="77777777" w:rsidR="00846A49" w:rsidRPr="00FE5A58" w:rsidRDefault="00846A49" w:rsidP="00846A49">
            <w:pPr>
              <w:numPr>
                <w:ilvl w:val="0"/>
                <w:numId w:val="4"/>
              </w:numPr>
              <w:rPr>
                <w:color w:val="000000"/>
                <w:lang w:val="ro-RO"/>
              </w:rPr>
            </w:pPr>
            <w:r w:rsidRPr="00FE5A58">
              <w:rPr>
                <w:color w:val="000000"/>
                <w:lang w:val="ro-RO"/>
              </w:rPr>
              <w:t>asistență socială</w:t>
            </w:r>
          </w:p>
          <w:p w14:paraId="5FBE63CB" w14:textId="77777777" w:rsidR="00846A49" w:rsidRPr="00FE5A58" w:rsidRDefault="00846A49" w:rsidP="00846A49">
            <w:pPr>
              <w:rPr>
                <w:color w:val="000000"/>
                <w:lang w:val="ro-RO"/>
              </w:rPr>
            </w:pPr>
            <w:r w:rsidRPr="00FE5A58">
              <w:rPr>
                <w:color w:val="000000"/>
                <w:lang w:val="ro-RO"/>
              </w:rPr>
              <w:t>b) bugete locale:</w:t>
            </w:r>
          </w:p>
          <w:p w14:paraId="26075E4E" w14:textId="77777777" w:rsidR="00846A49" w:rsidRPr="00FE5A58" w:rsidRDefault="00846A49" w:rsidP="00846A49">
            <w:pPr>
              <w:numPr>
                <w:ilvl w:val="0"/>
                <w:numId w:val="5"/>
              </w:numPr>
              <w:rPr>
                <w:color w:val="000000"/>
                <w:lang w:val="ro-RO"/>
              </w:rPr>
            </w:pPr>
            <w:r w:rsidRPr="00FE5A58">
              <w:rPr>
                <w:color w:val="000000"/>
                <w:lang w:val="ro-RO"/>
              </w:rPr>
              <w:t>cheltuieli de personal</w:t>
            </w:r>
          </w:p>
          <w:p w14:paraId="03B99DF9" w14:textId="77777777" w:rsidR="00846A49" w:rsidRPr="00FE5A58" w:rsidRDefault="00846A49" w:rsidP="00846A49">
            <w:pPr>
              <w:numPr>
                <w:ilvl w:val="0"/>
                <w:numId w:val="5"/>
              </w:numPr>
              <w:rPr>
                <w:color w:val="000000"/>
                <w:lang w:val="ro-RO"/>
              </w:rPr>
            </w:pPr>
            <w:r w:rsidRPr="00FE5A58">
              <w:rPr>
                <w:color w:val="000000"/>
                <w:lang w:val="ro-RO"/>
              </w:rPr>
              <w:t xml:space="preserve">bunuri </w:t>
            </w:r>
            <w:proofErr w:type="spellStart"/>
            <w:r w:rsidRPr="00FE5A58">
              <w:rPr>
                <w:color w:val="000000"/>
                <w:lang w:val="ro-RO"/>
              </w:rPr>
              <w:t>şi</w:t>
            </w:r>
            <w:proofErr w:type="spellEnd"/>
            <w:r w:rsidRPr="00FE5A58">
              <w:rPr>
                <w:color w:val="000000"/>
                <w:lang w:val="ro-RO"/>
              </w:rPr>
              <w:t xml:space="preserve"> servicii</w:t>
            </w:r>
          </w:p>
          <w:p w14:paraId="02EDFF73" w14:textId="77777777" w:rsidR="00846A49" w:rsidRPr="00FE5A58" w:rsidRDefault="00846A49" w:rsidP="00846A49">
            <w:pPr>
              <w:rPr>
                <w:color w:val="000000"/>
                <w:lang w:val="ro-RO"/>
              </w:rPr>
            </w:pPr>
            <w:r w:rsidRPr="00FE5A58">
              <w:rPr>
                <w:color w:val="000000"/>
                <w:lang w:val="ro-RO"/>
              </w:rPr>
              <w:t>c) bugetul asigurărilor sociale de stat:</w:t>
            </w:r>
          </w:p>
          <w:p w14:paraId="7F6D95C5" w14:textId="77777777" w:rsidR="00846A49" w:rsidRPr="00FE5A58" w:rsidRDefault="00846A49" w:rsidP="00846A49">
            <w:pPr>
              <w:numPr>
                <w:ilvl w:val="0"/>
                <w:numId w:val="6"/>
              </w:numPr>
              <w:rPr>
                <w:color w:val="000000"/>
                <w:lang w:val="ro-RO"/>
              </w:rPr>
            </w:pPr>
            <w:r w:rsidRPr="00FE5A58">
              <w:rPr>
                <w:color w:val="000000"/>
                <w:lang w:val="ro-RO"/>
              </w:rPr>
              <w:t>cheltuieli de personal</w:t>
            </w:r>
          </w:p>
          <w:p w14:paraId="2A17B336" w14:textId="77777777" w:rsidR="00846A49" w:rsidRPr="00FE5A58" w:rsidRDefault="00846A49" w:rsidP="00846A49">
            <w:pPr>
              <w:numPr>
                <w:ilvl w:val="0"/>
                <w:numId w:val="6"/>
              </w:numPr>
              <w:rPr>
                <w:color w:val="000000"/>
                <w:lang w:val="ro-RO"/>
              </w:rPr>
            </w:pPr>
            <w:r w:rsidRPr="00FE5A58">
              <w:rPr>
                <w:color w:val="000000"/>
                <w:lang w:val="ro-RO"/>
              </w:rPr>
              <w:t xml:space="preserve">bunuri </w:t>
            </w:r>
            <w:proofErr w:type="spellStart"/>
            <w:r w:rsidRPr="00FE5A58">
              <w:rPr>
                <w:color w:val="000000"/>
                <w:lang w:val="ro-RO"/>
              </w:rPr>
              <w:t>şi</w:t>
            </w:r>
            <w:proofErr w:type="spellEnd"/>
            <w:r w:rsidRPr="00FE5A58">
              <w:rPr>
                <w:color w:val="000000"/>
                <w:lang w:val="ro-RO"/>
              </w:rPr>
              <w:t xml:space="preserve"> servicii</w:t>
            </w:r>
            <w:r w:rsidRPr="00FE5A58">
              <w:rPr>
                <w:bCs/>
                <w:color w:val="000000"/>
                <w:lang w:val="ro-RO"/>
              </w:rPr>
              <w:t xml:space="preserve"> </w:t>
            </w:r>
          </w:p>
          <w:p w14:paraId="6A42E6C5" w14:textId="77777777" w:rsidR="00846A49" w:rsidRPr="00FE5A58" w:rsidRDefault="00846A49" w:rsidP="00846A49">
            <w:pPr>
              <w:rPr>
                <w:bCs/>
                <w:color w:val="000000"/>
                <w:lang w:val="ro-RO"/>
              </w:rPr>
            </w:pPr>
            <w:r w:rsidRPr="00FE5A58">
              <w:rPr>
                <w:bCs/>
                <w:color w:val="000000"/>
                <w:lang w:val="ro-RO"/>
              </w:rPr>
              <w:t>d) bugetul asigurărilor pentru șomaj:</w:t>
            </w:r>
          </w:p>
          <w:p w14:paraId="239C10B3" w14:textId="77777777" w:rsidR="00846A49" w:rsidRPr="00FE5A58" w:rsidRDefault="00846A49" w:rsidP="00846A49">
            <w:pPr>
              <w:rPr>
                <w:color w:val="000000"/>
                <w:lang w:val="ro-RO"/>
              </w:rPr>
            </w:pPr>
            <w:r w:rsidRPr="00FE5A58">
              <w:rPr>
                <w:color w:val="000000"/>
                <w:lang w:val="ro-RO"/>
              </w:rPr>
              <w:t>i.</w:t>
            </w:r>
            <w:r w:rsidRPr="00FE5A58">
              <w:rPr>
                <w:color w:val="000000"/>
                <w:lang w:val="ro-RO"/>
              </w:rPr>
              <w:tab/>
              <w:t>cheltuieli de personal</w:t>
            </w:r>
          </w:p>
          <w:p w14:paraId="3539638B" w14:textId="77777777" w:rsidR="00846A49" w:rsidRPr="00FE5A58" w:rsidRDefault="00846A49" w:rsidP="00846A49">
            <w:pPr>
              <w:rPr>
                <w:color w:val="000000"/>
                <w:lang w:val="ro-RO"/>
              </w:rPr>
            </w:pPr>
            <w:r w:rsidRPr="00FE5A58">
              <w:rPr>
                <w:color w:val="000000"/>
                <w:lang w:val="ro-RO"/>
              </w:rPr>
              <w:t>ii.</w:t>
            </w:r>
            <w:r w:rsidRPr="00FE5A58">
              <w:rPr>
                <w:color w:val="000000"/>
                <w:lang w:val="ro-RO"/>
              </w:rPr>
              <w:tab/>
              <w:t xml:space="preserve">bunuri </w:t>
            </w:r>
            <w:proofErr w:type="spellStart"/>
            <w:r w:rsidRPr="00FE5A58">
              <w:rPr>
                <w:color w:val="000000"/>
                <w:lang w:val="ro-RO"/>
              </w:rPr>
              <w:t>şi</w:t>
            </w:r>
            <w:proofErr w:type="spellEnd"/>
            <w:r w:rsidRPr="00FE5A58">
              <w:rPr>
                <w:color w:val="000000"/>
                <w:lang w:val="ro-RO"/>
              </w:rPr>
              <w:t xml:space="preserve"> servicii</w:t>
            </w:r>
          </w:p>
          <w:p w14:paraId="75AC8E08" w14:textId="77777777" w:rsidR="00846A49" w:rsidRPr="00FE5A58" w:rsidRDefault="00846A49" w:rsidP="00846A49">
            <w:pPr>
              <w:rPr>
                <w:color w:val="000000"/>
                <w:lang w:val="ro-RO"/>
              </w:rPr>
            </w:pPr>
            <w:r w:rsidRPr="00FE5A58">
              <w:rPr>
                <w:color w:val="000000"/>
                <w:lang w:val="ro-RO"/>
              </w:rPr>
              <w:t>iii.</w:t>
            </w:r>
            <w:r w:rsidRPr="00FE5A58">
              <w:rPr>
                <w:color w:val="000000"/>
                <w:lang w:val="ro-RO"/>
              </w:rPr>
              <w:tab/>
              <w:t>asistență socială</w:t>
            </w:r>
          </w:p>
        </w:tc>
        <w:tc>
          <w:tcPr>
            <w:tcW w:w="1065" w:type="dxa"/>
          </w:tcPr>
          <w:p w14:paraId="77D1AE22" w14:textId="77777777" w:rsidR="00846A49" w:rsidRPr="00FE5A58" w:rsidRDefault="004B7BE6" w:rsidP="004B7BE6">
            <w:pPr>
              <w:spacing w:line="276" w:lineRule="auto"/>
              <w:jc w:val="center"/>
              <w:rPr>
                <w:b/>
                <w:color w:val="000000"/>
                <w:lang w:val="ro-RO"/>
              </w:rPr>
            </w:pPr>
            <w:r w:rsidRPr="00FE5A58">
              <w:rPr>
                <w:b/>
                <w:color w:val="000000"/>
                <w:lang w:val="ro-RO"/>
              </w:rPr>
              <w:lastRenderedPageBreak/>
              <w:t>-</w:t>
            </w:r>
          </w:p>
        </w:tc>
        <w:tc>
          <w:tcPr>
            <w:tcW w:w="1132" w:type="dxa"/>
          </w:tcPr>
          <w:p w14:paraId="4212377A"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4FE7172A"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6F7089E9"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4B679FD0"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218" w:type="dxa"/>
          </w:tcPr>
          <w:p w14:paraId="616AC541" w14:textId="77777777" w:rsidR="00846A49" w:rsidRPr="00FE5A58" w:rsidRDefault="004B7BE6" w:rsidP="004B7BE6">
            <w:pPr>
              <w:spacing w:line="276" w:lineRule="auto"/>
              <w:jc w:val="center"/>
              <w:rPr>
                <w:b/>
                <w:color w:val="000000"/>
                <w:lang w:val="ro-RO"/>
              </w:rPr>
            </w:pPr>
            <w:r w:rsidRPr="00FE5A58">
              <w:rPr>
                <w:b/>
                <w:color w:val="000000"/>
                <w:lang w:val="ro-RO"/>
              </w:rPr>
              <w:t>-</w:t>
            </w:r>
          </w:p>
        </w:tc>
      </w:tr>
      <w:tr w:rsidR="00846A49" w:rsidRPr="00FE5A58" w14:paraId="24DADB6A" w14:textId="77777777" w:rsidTr="00846A49">
        <w:tc>
          <w:tcPr>
            <w:tcW w:w="2680" w:type="dxa"/>
          </w:tcPr>
          <w:p w14:paraId="18EB9157" w14:textId="77777777" w:rsidR="00846A49" w:rsidRPr="00FE5A58" w:rsidRDefault="004B7BE6" w:rsidP="00846A49">
            <w:pPr>
              <w:rPr>
                <w:color w:val="000000"/>
                <w:lang w:val="ro-RO"/>
              </w:rPr>
            </w:pPr>
            <w:r w:rsidRPr="00FE5A58">
              <w:rPr>
                <w:bCs/>
                <w:color w:val="000000"/>
                <w:lang w:val="ro-RO"/>
              </w:rPr>
              <w:t>4.</w:t>
            </w:r>
            <w:r w:rsidR="00846A49" w:rsidRPr="00FE5A58">
              <w:rPr>
                <w:bCs/>
                <w:color w:val="000000"/>
                <w:lang w:val="ro-RO"/>
              </w:rPr>
              <w:t xml:space="preserve">3. </w:t>
            </w:r>
            <w:r w:rsidR="00846A49" w:rsidRPr="00FE5A58">
              <w:rPr>
                <w:color w:val="000000"/>
                <w:lang w:val="ro-RO"/>
              </w:rPr>
              <w:t>Impact financiar, plus/minus, din care:</w:t>
            </w:r>
          </w:p>
          <w:p w14:paraId="20337519" w14:textId="77777777" w:rsidR="00846A49" w:rsidRPr="00FE5A58" w:rsidRDefault="00846A49" w:rsidP="00846A49">
            <w:pPr>
              <w:rPr>
                <w:color w:val="000000"/>
                <w:lang w:val="ro-RO"/>
              </w:rPr>
            </w:pPr>
            <w:r w:rsidRPr="00FE5A58">
              <w:rPr>
                <w:color w:val="000000"/>
                <w:lang w:val="ro-RO"/>
              </w:rPr>
              <w:t>a)</w:t>
            </w:r>
            <w:r w:rsidRPr="00FE5A58">
              <w:rPr>
                <w:color w:val="000000"/>
                <w:vertAlign w:val="superscript"/>
                <w:lang w:val="ro-RO"/>
              </w:rPr>
              <w:t xml:space="preserve"> </w:t>
            </w:r>
            <w:r w:rsidRPr="00FE5A58">
              <w:rPr>
                <w:color w:val="000000"/>
                <w:lang w:val="ro-RO"/>
              </w:rPr>
              <w:t>buget de stat</w:t>
            </w:r>
          </w:p>
          <w:p w14:paraId="7120064A" w14:textId="77777777" w:rsidR="00846A49" w:rsidRPr="00FE5A58" w:rsidRDefault="00846A49" w:rsidP="00846A49">
            <w:pPr>
              <w:rPr>
                <w:color w:val="000000"/>
                <w:lang w:val="ro-RO"/>
              </w:rPr>
            </w:pPr>
            <w:r w:rsidRPr="00FE5A58">
              <w:rPr>
                <w:color w:val="000000"/>
                <w:lang w:val="ro-RO"/>
              </w:rPr>
              <w:t>b) bugete locale</w:t>
            </w:r>
          </w:p>
          <w:p w14:paraId="749E2649" w14:textId="77777777" w:rsidR="00846A49" w:rsidRPr="00FE5A58" w:rsidRDefault="00846A49" w:rsidP="00846A49">
            <w:pPr>
              <w:rPr>
                <w:color w:val="000000"/>
                <w:lang w:val="ro-RO"/>
              </w:rPr>
            </w:pPr>
            <w:r w:rsidRPr="00FE5A58">
              <w:rPr>
                <w:color w:val="000000"/>
                <w:lang w:val="ro-RO"/>
              </w:rPr>
              <w:t>c) buget de asigurări sociale de stat</w:t>
            </w:r>
          </w:p>
          <w:p w14:paraId="722FC3D0" w14:textId="77777777" w:rsidR="00846A49" w:rsidRPr="00FE5A58" w:rsidRDefault="00846A49" w:rsidP="00846A49">
            <w:pPr>
              <w:rPr>
                <w:bCs/>
                <w:color w:val="000000"/>
                <w:lang w:val="ro-RO"/>
              </w:rPr>
            </w:pPr>
            <w:r w:rsidRPr="00FE5A58">
              <w:rPr>
                <w:color w:val="000000"/>
                <w:lang w:val="ro-RO"/>
              </w:rPr>
              <w:t xml:space="preserve">d) </w:t>
            </w:r>
            <w:r w:rsidRPr="00FE5A58">
              <w:rPr>
                <w:bCs/>
                <w:color w:val="000000"/>
                <w:lang w:val="ro-RO"/>
              </w:rPr>
              <w:t xml:space="preserve"> bugetul asigurărilor pentru șomaj</w:t>
            </w:r>
          </w:p>
        </w:tc>
        <w:tc>
          <w:tcPr>
            <w:tcW w:w="1065" w:type="dxa"/>
          </w:tcPr>
          <w:p w14:paraId="2D780829"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132" w:type="dxa"/>
          </w:tcPr>
          <w:p w14:paraId="70DDE1A3"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0B2614C4"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4EF761EB"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03744F7D" w14:textId="77777777" w:rsidR="00846A49" w:rsidRPr="00FE5A58" w:rsidRDefault="004B7BE6" w:rsidP="004B7BE6">
            <w:pPr>
              <w:spacing w:line="276" w:lineRule="auto"/>
              <w:jc w:val="center"/>
              <w:rPr>
                <w:b/>
                <w:color w:val="000000"/>
                <w:lang w:val="ro-RO"/>
              </w:rPr>
            </w:pPr>
            <w:r w:rsidRPr="00FE5A58">
              <w:rPr>
                <w:b/>
                <w:color w:val="000000"/>
                <w:lang w:val="ro-RO"/>
              </w:rPr>
              <w:t>-</w:t>
            </w:r>
          </w:p>
        </w:tc>
        <w:tc>
          <w:tcPr>
            <w:tcW w:w="1218" w:type="dxa"/>
          </w:tcPr>
          <w:p w14:paraId="201A1D18" w14:textId="77777777" w:rsidR="00846A49" w:rsidRPr="00FE5A58" w:rsidRDefault="004B7BE6" w:rsidP="004B7BE6">
            <w:pPr>
              <w:spacing w:line="276" w:lineRule="auto"/>
              <w:jc w:val="center"/>
              <w:rPr>
                <w:b/>
                <w:color w:val="000000"/>
                <w:lang w:val="ro-RO"/>
              </w:rPr>
            </w:pPr>
            <w:r w:rsidRPr="00FE5A58">
              <w:rPr>
                <w:b/>
                <w:color w:val="000000"/>
                <w:lang w:val="ro-RO"/>
              </w:rPr>
              <w:t>-</w:t>
            </w:r>
          </w:p>
        </w:tc>
      </w:tr>
      <w:tr w:rsidR="004B7BE6" w:rsidRPr="00FE5A58" w14:paraId="520D8A17" w14:textId="77777777" w:rsidTr="00846A49">
        <w:tc>
          <w:tcPr>
            <w:tcW w:w="2680" w:type="dxa"/>
          </w:tcPr>
          <w:p w14:paraId="7B204619" w14:textId="77777777" w:rsidR="004B7BE6" w:rsidRPr="00FE5A58" w:rsidRDefault="004B7BE6" w:rsidP="004B7BE6">
            <w:pPr>
              <w:rPr>
                <w:bCs/>
                <w:color w:val="000000"/>
                <w:lang w:val="ro-RO"/>
              </w:rPr>
            </w:pPr>
            <w:r w:rsidRPr="00FE5A58">
              <w:rPr>
                <w:bCs/>
                <w:color w:val="000000"/>
                <w:lang w:val="ro-RO"/>
              </w:rPr>
              <w:t>4.4.</w:t>
            </w:r>
            <w:r w:rsidRPr="00FE5A58">
              <w:rPr>
                <w:color w:val="000000"/>
                <w:lang w:val="ro-RO"/>
              </w:rPr>
              <w:t xml:space="preserve"> Propuneri pentru acoperirea </w:t>
            </w:r>
            <w:proofErr w:type="spellStart"/>
            <w:r w:rsidRPr="00FE5A58">
              <w:rPr>
                <w:color w:val="000000"/>
                <w:lang w:val="ro-RO"/>
              </w:rPr>
              <w:t>creşterii</w:t>
            </w:r>
            <w:proofErr w:type="spellEnd"/>
            <w:r w:rsidRPr="00FE5A58">
              <w:rPr>
                <w:color w:val="000000"/>
                <w:lang w:val="ro-RO"/>
              </w:rPr>
              <w:t xml:space="preserve"> cheltuielilor bugetare</w:t>
            </w:r>
          </w:p>
        </w:tc>
        <w:tc>
          <w:tcPr>
            <w:tcW w:w="1065" w:type="dxa"/>
          </w:tcPr>
          <w:p w14:paraId="202E300F"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132" w:type="dxa"/>
          </w:tcPr>
          <w:p w14:paraId="26F67668"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58294E25"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43A7BD87"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151EC6F4"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218" w:type="dxa"/>
          </w:tcPr>
          <w:p w14:paraId="58C32920" w14:textId="77777777" w:rsidR="004B7BE6" w:rsidRPr="00FE5A58" w:rsidRDefault="004B7BE6" w:rsidP="004B7BE6">
            <w:pPr>
              <w:spacing w:line="276" w:lineRule="auto"/>
              <w:jc w:val="center"/>
              <w:rPr>
                <w:b/>
                <w:color w:val="000000"/>
                <w:lang w:val="ro-RO"/>
              </w:rPr>
            </w:pPr>
            <w:r w:rsidRPr="00FE5A58">
              <w:rPr>
                <w:b/>
                <w:color w:val="000000"/>
                <w:lang w:val="ro-RO"/>
              </w:rPr>
              <w:t>-</w:t>
            </w:r>
          </w:p>
        </w:tc>
      </w:tr>
      <w:tr w:rsidR="004B7BE6" w:rsidRPr="00FE5A58" w14:paraId="07F1C447" w14:textId="77777777" w:rsidTr="00846A49">
        <w:tc>
          <w:tcPr>
            <w:tcW w:w="2680" w:type="dxa"/>
          </w:tcPr>
          <w:p w14:paraId="6C77698C" w14:textId="77777777" w:rsidR="004B7BE6" w:rsidRPr="00FE5A58" w:rsidRDefault="004B7BE6" w:rsidP="004B7BE6">
            <w:pPr>
              <w:rPr>
                <w:color w:val="000000"/>
                <w:lang w:val="ro-RO"/>
              </w:rPr>
            </w:pPr>
            <w:r w:rsidRPr="00FE5A58">
              <w:rPr>
                <w:color w:val="000000"/>
                <w:lang w:val="ro-RO"/>
              </w:rPr>
              <w:t>4.5. Propuneri pentru a compensa reducerea veniturilor bugetare</w:t>
            </w:r>
          </w:p>
        </w:tc>
        <w:tc>
          <w:tcPr>
            <w:tcW w:w="1065" w:type="dxa"/>
          </w:tcPr>
          <w:p w14:paraId="3C190DDB"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132" w:type="dxa"/>
          </w:tcPr>
          <w:p w14:paraId="283556EA"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21540602"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2F773AA4"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0C117D19"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218" w:type="dxa"/>
          </w:tcPr>
          <w:p w14:paraId="15F8E18E" w14:textId="77777777" w:rsidR="004B7BE6" w:rsidRPr="00FE5A58" w:rsidRDefault="004B7BE6" w:rsidP="004B7BE6">
            <w:pPr>
              <w:spacing w:line="276" w:lineRule="auto"/>
              <w:jc w:val="center"/>
              <w:rPr>
                <w:b/>
                <w:color w:val="000000"/>
                <w:lang w:val="ro-RO"/>
              </w:rPr>
            </w:pPr>
            <w:r w:rsidRPr="00FE5A58">
              <w:rPr>
                <w:b/>
                <w:color w:val="000000"/>
                <w:lang w:val="ro-RO"/>
              </w:rPr>
              <w:t>-</w:t>
            </w:r>
          </w:p>
        </w:tc>
      </w:tr>
      <w:tr w:rsidR="004B7BE6" w:rsidRPr="00FE5A58" w14:paraId="51135788" w14:textId="77777777" w:rsidTr="00846A49">
        <w:tc>
          <w:tcPr>
            <w:tcW w:w="2680" w:type="dxa"/>
          </w:tcPr>
          <w:p w14:paraId="61039A67" w14:textId="77777777" w:rsidR="004B7BE6" w:rsidRPr="00FE5A58" w:rsidRDefault="004B7BE6" w:rsidP="004B7BE6">
            <w:pPr>
              <w:rPr>
                <w:color w:val="000000"/>
                <w:lang w:val="ro-RO"/>
              </w:rPr>
            </w:pPr>
            <w:r w:rsidRPr="00FE5A58">
              <w:rPr>
                <w:color w:val="000000"/>
                <w:lang w:val="ro-RO"/>
              </w:rPr>
              <w:t xml:space="preserve">4.6. Calcule detaliate privind fundamentarea modificărilor veniturilor </w:t>
            </w:r>
            <w:proofErr w:type="spellStart"/>
            <w:r w:rsidRPr="00FE5A58">
              <w:rPr>
                <w:color w:val="000000"/>
                <w:lang w:val="ro-RO"/>
              </w:rPr>
              <w:t>şi</w:t>
            </w:r>
            <w:proofErr w:type="spellEnd"/>
            <w:r w:rsidRPr="00FE5A58">
              <w:rPr>
                <w:color w:val="000000"/>
                <w:lang w:val="ro-RO"/>
              </w:rPr>
              <w:t>/sau cheltuielilor bugetare</w:t>
            </w:r>
          </w:p>
        </w:tc>
        <w:tc>
          <w:tcPr>
            <w:tcW w:w="1065" w:type="dxa"/>
          </w:tcPr>
          <w:p w14:paraId="62474D9D"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132" w:type="dxa"/>
          </w:tcPr>
          <w:p w14:paraId="647964F6"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202324E9"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7F4BB590"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312" w:type="dxa"/>
          </w:tcPr>
          <w:p w14:paraId="16815AFD" w14:textId="77777777" w:rsidR="004B7BE6" w:rsidRPr="00FE5A58" w:rsidRDefault="004B7BE6" w:rsidP="004B7BE6">
            <w:pPr>
              <w:spacing w:line="276" w:lineRule="auto"/>
              <w:jc w:val="center"/>
              <w:rPr>
                <w:b/>
                <w:color w:val="000000"/>
                <w:lang w:val="ro-RO"/>
              </w:rPr>
            </w:pPr>
            <w:r w:rsidRPr="00FE5A58">
              <w:rPr>
                <w:b/>
                <w:color w:val="000000"/>
                <w:lang w:val="ro-RO"/>
              </w:rPr>
              <w:t>-</w:t>
            </w:r>
          </w:p>
        </w:tc>
        <w:tc>
          <w:tcPr>
            <w:tcW w:w="1218" w:type="dxa"/>
          </w:tcPr>
          <w:p w14:paraId="7B8C512E" w14:textId="77777777" w:rsidR="004B7BE6" w:rsidRPr="00FE5A58" w:rsidRDefault="004B7BE6" w:rsidP="004B7BE6">
            <w:pPr>
              <w:spacing w:line="276" w:lineRule="auto"/>
              <w:jc w:val="center"/>
              <w:rPr>
                <w:b/>
                <w:color w:val="000000"/>
                <w:lang w:val="ro-RO"/>
              </w:rPr>
            </w:pPr>
            <w:r w:rsidRPr="00FE5A58">
              <w:rPr>
                <w:b/>
                <w:color w:val="000000"/>
                <w:lang w:val="ro-RO"/>
              </w:rPr>
              <w:t>-</w:t>
            </w:r>
          </w:p>
        </w:tc>
      </w:tr>
      <w:tr w:rsidR="004B7BE6" w:rsidRPr="00254ACD" w14:paraId="2A6E6D6A" w14:textId="77777777" w:rsidTr="000E19EA">
        <w:tc>
          <w:tcPr>
            <w:tcW w:w="10031" w:type="dxa"/>
            <w:gridSpan w:val="7"/>
          </w:tcPr>
          <w:p w14:paraId="6E11E5FA" w14:textId="77777777" w:rsidR="004B7BE6" w:rsidRPr="00FE5A58" w:rsidRDefault="004B7BE6" w:rsidP="004B7BE6">
            <w:pPr>
              <w:spacing w:line="276" w:lineRule="auto"/>
              <w:jc w:val="both"/>
              <w:rPr>
                <w:b/>
                <w:color w:val="000000"/>
                <w:lang w:val="ro-RO"/>
              </w:rPr>
            </w:pPr>
            <w:r w:rsidRPr="00FE5A58">
              <w:rPr>
                <w:color w:val="000000"/>
                <w:lang w:val="ro-RO"/>
              </w:rPr>
              <w:t>4.7.</w:t>
            </w:r>
            <w:r w:rsidRPr="00FE5A58">
              <w:rPr>
                <w:b/>
                <w:color w:val="000000"/>
                <w:lang w:val="ro-RO"/>
              </w:rPr>
              <w:t xml:space="preserve"> Prezentarea, în cazul proiectelor de acte normative a căror adoptare atrage majorarea cheltuielilor bugetare, a următoarelor documente:                                                          </w:t>
            </w:r>
          </w:p>
          <w:p w14:paraId="3FB0A567" w14:textId="77777777" w:rsidR="004B7BE6" w:rsidRPr="00FE5A58" w:rsidRDefault="004B7BE6" w:rsidP="004B7BE6">
            <w:pPr>
              <w:spacing w:line="276" w:lineRule="auto"/>
              <w:jc w:val="both"/>
              <w:rPr>
                <w:b/>
                <w:color w:val="000000"/>
                <w:lang w:val="ro-RO"/>
              </w:rPr>
            </w:pPr>
            <w:r w:rsidRPr="00FE5A58">
              <w:rPr>
                <w:b/>
                <w:color w:val="000000"/>
                <w:lang w:val="ro-RO"/>
              </w:rPr>
              <w:t xml:space="preserve">a) </w:t>
            </w:r>
            <w:proofErr w:type="spellStart"/>
            <w:r w:rsidRPr="00FE5A58">
              <w:rPr>
                <w:b/>
                <w:color w:val="000000"/>
                <w:lang w:val="ro-RO"/>
              </w:rPr>
              <w:t>fişa</w:t>
            </w:r>
            <w:proofErr w:type="spellEnd"/>
            <w:r w:rsidRPr="00FE5A58">
              <w:rPr>
                <w:b/>
                <w:color w:val="000000"/>
                <w:lang w:val="ro-RO"/>
              </w:rPr>
              <w:t xml:space="preserve"> financiară prevăzută la art. 15 din Legea nr. 500/2002 privind </w:t>
            </w:r>
            <w:proofErr w:type="spellStart"/>
            <w:r w:rsidRPr="00FE5A58">
              <w:rPr>
                <w:b/>
                <w:color w:val="000000"/>
                <w:lang w:val="ro-RO"/>
              </w:rPr>
              <w:t>finanţele</w:t>
            </w:r>
            <w:proofErr w:type="spellEnd"/>
            <w:r w:rsidRPr="00FE5A58">
              <w:rPr>
                <w:b/>
                <w:color w:val="000000"/>
                <w:lang w:val="ro-RO"/>
              </w:rPr>
              <w:t xml:space="preserve"> publice, cu modificările </w:t>
            </w:r>
            <w:proofErr w:type="spellStart"/>
            <w:r w:rsidRPr="00FE5A58">
              <w:rPr>
                <w:b/>
                <w:color w:val="000000"/>
                <w:lang w:val="ro-RO"/>
              </w:rPr>
              <w:t>şi</w:t>
            </w:r>
            <w:proofErr w:type="spellEnd"/>
            <w:r w:rsidRPr="00FE5A58">
              <w:rPr>
                <w:b/>
                <w:color w:val="000000"/>
                <w:lang w:val="ro-RO"/>
              </w:rPr>
              <w:t xml:space="preserve"> completările ulterioare, </w:t>
            </w:r>
            <w:proofErr w:type="spellStart"/>
            <w:r w:rsidRPr="00FE5A58">
              <w:rPr>
                <w:b/>
                <w:color w:val="000000"/>
                <w:lang w:val="ro-RO"/>
              </w:rPr>
              <w:t>însoţită</w:t>
            </w:r>
            <w:proofErr w:type="spellEnd"/>
            <w:r w:rsidRPr="00FE5A58">
              <w:rPr>
                <w:b/>
                <w:color w:val="000000"/>
                <w:lang w:val="ro-RO"/>
              </w:rPr>
              <w:t xml:space="preserve"> de ipotezele </w:t>
            </w:r>
            <w:proofErr w:type="spellStart"/>
            <w:r w:rsidRPr="00FE5A58">
              <w:rPr>
                <w:b/>
                <w:color w:val="000000"/>
                <w:lang w:val="ro-RO"/>
              </w:rPr>
              <w:t>şi</w:t>
            </w:r>
            <w:proofErr w:type="spellEnd"/>
            <w:r w:rsidRPr="00FE5A58">
              <w:rPr>
                <w:b/>
                <w:color w:val="000000"/>
                <w:lang w:val="ro-RO"/>
              </w:rPr>
              <w:t xml:space="preserve"> metodologia de calcul utilizată; </w:t>
            </w:r>
          </w:p>
          <w:p w14:paraId="76C62460" w14:textId="77777777" w:rsidR="004B7BE6" w:rsidRPr="00FE5A58" w:rsidRDefault="004B7BE6" w:rsidP="004B7BE6">
            <w:pPr>
              <w:spacing w:line="276" w:lineRule="auto"/>
              <w:jc w:val="both"/>
              <w:rPr>
                <w:color w:val="000000"/>
                <w:lang w:val="ro-RO"/>
              </w:rPr>
            </w:pPr>
            <w:r w:rsidRPr="00FE5A58">
              <w:rPr>
                <w:b/>
                <w:color w:val="000000"/>
                <w:lang w:val="ro-RO"/>
              </w:rPr>
              <w:t xml:space="preserve">b) </w:t>
            </w:r>
            <w:proofErr w:type="spellStart"/>
            <w:r w:rsidRPr="00FE5A58">
              <w:rPr>
                <w:b/>
                <w:color w:val="000000"/>
                <w:lang w:val="ro-RO"/>
              </w:rPr>
              <w:t>declaraţie</w:t>
            </w:r>
            <w:proofErr w:type="spellEnd"/>
            <w:r w:rsidRPr="00FE5A58">
              <w:rPr>
                <w:b/>
                <w:color w:val="000000"/>
                <w:lang w:val="ro-RO"/>
              </w:rPr>
              <w:t xml:space="preserve"> conform căreia majorarea de cheltuială respectivă este compatibilă cu obiectivele </w:t>
            </w:r>
            <w:proofErr w:type="spellStart"/>
            <w:r w:rsidRPr="00FE5A58">
              <w:rPr>
                <w:b/>
                <w:color w:val="000000"/>
                <w:lang w:val="ro-RO"/>
              </w:rPr>
              <w:t>şi</w:t>
            </w:r>
            <w:proofErr w:type="spellEnd"/>
            <w:r w:rsidRPr="00FE5A58">
              <w:rPr>
                <w:b/>
                <w:color w:val="000000"/>
                <w:lang w:val="ro-RO"/>
              </w:rPr>
              <w:t xml:space="preserve"> </w:t>
            </w:r>
            <w:proofErr w:type="spellStart"/>
            <w:r w:rsidRPr="00FE5A58">
              <w:rPr>
                <w:b/>
                <w:color w:val="000000"/>
                <w:lang w:val="ro-RO"/>
              </w:rPr>
              <w:t>priorităţile</w:t>
            </w:r>
            <w:proofErr w:type="spellEnd"/>
            <w:r w:rsidRPr="00FE5A58">
              <w:rPr>
                <w:b/>
                <w:color w:val="000000"/>
                <w:lang w:val="ro-RO"/>
              </w:rPr>
              <w:t xml:space="preserve"> strategice specificate în strategia fiscal-bugetară, cu legea bugetară anuală </w:t>
            </w:r>
            <w:proofErr w:type="spellStart"/>
            <w:r w:rsidRPr="00FE5A58">
              <w:rPr>
                <w:b/>
                <w:color w:val="000000"/>
                <w:lang w:val="ro-RO"/>
              </w:rPr>
              <w:t>şi</w:t>
            </w:r>
            <w:proofErr w:type="spellEnd"/>
            <w:r w:rsidRPr="00FE5A58">
              <w:rPr>
                <w:b/>
                <w:color w:val="000000"/>
                <w:lang w:val="ro-RO"/>
              </w:rPr>
              <w:t xml:space="preserve"> cu plafoanele de cheltuieli prezentate în strategia fiscal-bugetară.</w:t>
            </w:r>
          </w:p>
        </w:tc>
      </w:tr>
      <w:tr w:rsidR="00C023AD" w:rsidRPr="00254ACD" w14:paraId="6364C4D5" w14:textId="77777777" w:rsidTr="000E19EA">
        <w:tc>
          <w:tcPr>
            <w:tcW w:w="10031" w:type="dxa"/>
            <w:gridSpan w:val="7"/>
          </w:tcPr>
          <w:p w14:paraId="69683C9E" w14:textId="77777777" w:rsidR="00C023AD" w:rsidRPr="00FE5A58" w:rsidRDefault="00C023AD" w:rsidP="00846A49">
            <w:pPr>
              <w:spacing w:line="276" w:lineRule="auto"/>
              <w:rPr>
                <w:color w:val="000000"/>
                <w:lang w:val="ro-RO"/>
              </w:rPr>
            </w:pPr>
            <w:r w:rsidRPr="00FE5A58">
              <w:rPr>
                <w:color w:val="000000"/>
                <w:lang w:val="ro-RO"/>
              </w:rPr>
              <w:t xml:space="preserve">4.8. Alte informații </w:t>
            </w:r>
          </w:p>
          <w:p w14:paraId="5EEA73AE" w14:textId="77777777" w:rsidR="00C023AD" w:rsidRPr="00FE5A58" w:rsidRDefault="00C023AD" w:rsidP="00846A49">
            <w:pPr>
              <w:spacing w:line="276" w:lineRule="auto"/>
              <w:rPr>
                <w:color w:val="000000"/>
                <w:lang w:val="ro-RO"/>
              </w:rPr>
            </w:pPr>
            <w:r w:rsidRPr="00FE5A58">
              <w:rPr>
                <w:color w:val="000000"/>
                <w:lang w:val="ro-RO"/>
              </w:rPr>
              <w:t>Proiectul de act normativ nu se referă la acest subiect</w:t>
            </w:r>
          </w:p>
        </w:tc>
      </w:tr>
      <w:tr w:rsidR="00846A49" w:rsidRPr="00254ACD" w14:paraId="594C1546" w14:textId="77777777" w:rsidTr="00277178">
        <w:trPr>
          <w:trHeight w:val="75"/>
        </w:trPr>
        <w:tc>
          <w:tcPr>
            <w:tcW w:w="10031" w:type="dxa"/>
            <w:gridSpan w:val="7"/>
          </w:tcPr>
          <w:p w14:paraId="2BE00B6D" w14:textId="77777777" w:rsidR="00846A49" w:rsidRPr="00FE5A58" w:rsidRDefault="00846A49" w:rsidP="00846A49">
            <w:pPr>
              <w:spacing w:line="276" w:lineRule="auto"/>
              <w:jc w:val="center"/>
              <w:rPr>
                <w:b/>
                <w:color w:val="000000"/>
                <w:lang w:val="ro-RO"/>
              </w:rPr>
            </w:pPr>
            <w:proofErr w:type="spellStart"/>
            <w:r w:rsidRPr="00FE5A58">
              <w:rPr>
                <w:b/>
                <w:color w:val="000000"/>
                <w:lang w:val="ro-RO"/>
              </w:rPr>
              <w:t>Secţiunea</w:t>
            </w:r>
            <w:proofErr w:type="spellEnd"/>
            <w:r w:rsidRPr="00FE5A58">
              <w:rPr>
                <w:b/>
                <w:color w:val="000000"/>
                <w:lang w:val="ro-RO"/>
              </w:rPr>
              <w:t xml:space="preserve"> a 5-a</w:t>
            </w:r>
          </w:p>
          <w:p w14:paraId="4D232B97" w14:textId="77777777" w:rsidR="00846A49" w:rsidRPr="00FE5A58" w:rsidRDefault="00846A49" w:rsidP="00846A49">
            <w:pPr>
              <w:spacing w:line="276" w:lineRule="auto"/>
              <w:jc w:val="center"/>
              <w:rPr>
                <w:b/>
                <w:color w:val="000000"/>
                <w:lang w:val="ro-RO"/>
              </w:rPr>
            </w:pPr>
            <w:r w:rsidRPr="00FE5A58">
              <w:rPr>
                <w:b/>
                <w:color w:val="000000"/>
                <w:lang w:val="ro-RO"/>
              </w:rPr>
              <w:t xml:space="preserve">Efectele proiectului de act normativ asupra </w:t>
            </w:r>
            <w:proofErr w:type="spellStart"/>
            <w:r w:rsidRPr="00FE5A58">
              <w:rPr>
                <w:b/>
                <w:color w:val="000000"/>
                <w:lang w:val="ro-RO"/>
              </w:rPr>
              <w:t>legislaţiei</w:t>
            </w:r>
            <w:proofErr w:type="spellEnd"/>
            <w:r w:rsidRPr="00FE5A58">
              <w:rPr>
                <w:b/>
                <w:color w:val="000000"/>
                <w:lang w:val="ro-RO"/>
              </w:rPr>
              <w:t xml:space="preserve"> în vigoare</w:t>
            </w:r>
          </w:p>
        </w:tc>
      </w:tr>
      <w:tr w:rsidR="00846A49" w:rsidRPr="00254ACD" w14:paraId="44E1F3BF" w14:textId="77777777" w:rsidTr="002656DB">
        <w:tc>
          <w:tcPr>
            <w:tcW w:w="10031" w:type="dxa"/>
            <w:gridSpan w:val="7"/>
          </w:tcPr>
          <w:p w14:paraId="56D8FAF7" w14:textId="77777777" w:rsidR="00846A49" w:rsidRPr="00FE5A58" w:rsidRDefault="00846A49" w:rsidP="00846A49">
            <w:pPr>
              <w:pStyle w:val="Normal1"/>
              <w:spacing w:line="276" w:lineRule="auto"/>
              <w:jc w:val="both"/>
              <w:rPr>
                <w:color w:val="000000"/>
              </w:rPr>
            </w:pPr>
            <w:r w:rsidRPr="00FE5A58">
              <w:rPr>
                <w:b/>
                <w:color w:val="000000"/>
              </w:rPr>
              <w:t>5.1. Măsuri normative necesare pentru aplicarea prevederilor actului normativ</w:t>
            </w:r>
            <w:r w:rsidRPr="00FE5A58">
              <w:rPr>
                <w:color w:val="000000"/>
              </w:rPr>
              <w:t>:</w:t>
            </w:r>
          </w:p>
          <w:p w14:paraId="5D20BC15" w14:textId="4F3E8BE4" w:rsidR="00846A49" w:rsidRPr="00FE5A58" w:rsidRDefault="00846A49" w:rsidP="00C023AD">
            <w:pPr>
              <w:jc w:val="both"/>
              <w:rPr>
                <w:b/>
                <w:color w:val="000000"/>
                <w:lang w:val="ro-RO"/>
              </w:rPr>
            </w:pPr>
            <w:r w:rsidRPr="00FE5A58">
              <w:rPr>
                <w:b/>
                <w:color w:val="000000"/>
                <w:lang w:val="ro-RO"/>
              </w:rPr>
              <w:t>a) acte normative în vigoare ce vor fi modificate sau abrogate, ca urmare a intrării în vigoare a prezentului act normativ:</w:t>
            </w:r>
          </w:p>
          <w:p w14:paraId="1CBEFD02" w14:textId="71BDC236" w:rsidR="00F45ABF" w:rsidRPr="00657BF1" w:rsidRDefault="00152A2A" w:rsidP="00657BF1">
            <w:pPr>
              <w:spacing w:line="276" w:lineRule="auto"/>
              <w:jc w:val="both"/>
              <w:rPr>
                <w:lang w:val="ro-RO"/>
              </w:rPr>
            </w:pPr>
            <w:r>
              <w:rPr>
                <w:lang w:val="ro-RO"/>
              </w:rPr>
              <w:t xml:space="preserve">Legea nr 153/2017 </w:t>
            </w:r>
            <w:r w:rsidR="009E6781">
              <w:rPr>
                <w:lang w:val="ro-RO"/>
              </w:rPr>
              <w:t xml:space="preserve">privind </w:t>
            </w:r>
            <w:r w:rsidR="009E6781" w:rsidRPr="009E6781">
              <w:rPr>
                <w:lang w:val="ro-RO"/>
              </w:rPr>
              <w:t>salarizarea personalului plătit din fonduri publice</w:t>
            </w:r>
          </w:p>
          <w:p w14:paraId="700EB761" w14:textId="0854153A" w:rsidR="00C023AD" w:rsidRPr="00FE5A58" w:rsidRDefault="00846A49" w:rsidP="00C023AD">
            <w:pPr>
              <w:autoSpaceDE w:val="0"/>
              <w:autoSpaceDN w:val="0"/>
              <w:adjustRightInd w:val="0"/>
              <w:jc w:val="both"/>
              <w:rPr>
                <w:lang w:val="ro-RO"/>
              </w:rPr>
            </w:pPr>
            <w:r w:rsidRPr="00FE5A58">
              <w:rPr>
                <w:b/>
                <w:lang w:val="ro-RO"/>
              </w:rPr>
              <w:t xml:space="preserve">b) acte normative ce urmează a fi elaborate în vederea implementării noilor </w:t>
            </w:r>
            <w:proofErr w:type="spellStart"/>
            <w:r w:rsidRPr="00FE5A58">
              <w:rPr>
                <w:b/>
                <w:lang w:val="ro-RO"/>
              </w:rPr>
              <w:t>dispoziţii</w:t>
            </w:r>
            <w:proofErr w:type="spellEnd"/>
            <w:r w:rsidRPr="00FE5A58">
              <w:rPr>
                <w:lang w:val="ro-RO"/>
              </w:rPr>
              <w:t xml:space="preserve">: </w:t>
            </w:r>
          </w:p>
          <w:p w14:paraId="2E7B225C" w14:textId="7F9E0004" w:rsidR="007025FF" w:rsidRPr="00FE5A58" w:rsidRDefault="007025FF" w:rsidP="00C023AD">
            <w:pPr>
              <w:autoSpaceDE w:val="0"/>
              <w:autoSpaceDN w:val="0"/>
              <w:adjustRightInd w:val="0"/>
              <w:jc w:val="both"/>
              <w:rPr>
                <w:color w:val="FF0000"/>
                <w:lang w:val="ro-RO"/>
              </w:rPr>
            </w:pPr>
            <w:r w:rsidRPr="00FE5A58">
              <w:rPr>
                <w:color w:val="000000"/>
                <w:lang w:val="ro-RO"/>
              </w:rPr>
              <w:t>Proiectul de act normativ nu se referă la acest subiect</w:t>
            </w:r>
          </w:p>
        </w:tc>
      </w:tr>
      <w:tr w:rsidR="00846A49" w:rsidRPr="00FE5A58" w14:paraId="7BD0BC27" w14:textId="77777777" w:rsidTr="000B618E">
        <w:trPr>
          <w:trHeight w:val="348"/>
        </w:trPr>
        <w:tc>
          <w:tcPr>
            <w:tcW w:w="10031" w:type="dxa"/>
            <w:gridSpan w:val="7"/>
          </w:tcPr>
          <w:p w14:paraId="2B50B570" w14:textId="77777777" w:rsidR="00C023AD" w:rsidRPr="00FE5A58" w:rsidRDefault="00846A49" w:rsidP="00846A49">
            <w:pPr>
              <w:spacing w:line="276" w:lineRule="auto"/>
              <w:jc w:val="both"/>
              <w:rPr>
                <w:b/>
                <w:color w:val="000000"/>
                <w:lang w:val="ro-RO"/>
              </w:rPr>
            </w:pPr>
            <w:r w:rsidRPr="00FE5A58">
              <w:rPr>
                <w:b/>
                <w:color w:val="000000"/>
                <w:lang w:val="ro-RO"/>
              </w:rPr>
              <w:lastRenderedPageBreak/>
              <w:t xml:space="preserve">5.2. Impactul asupra </w:t>
            </w:r>
            <w:proofErr w:type="spellStart"/>
            <w:r w:rsidRPr="00FE5A58">
              <w:rPr>
                <w:b/>
                <w:color w:val="000000"/>
                <w:lang w:val="ro-RO"/>
              </w:rPr>
              <w:t>legislaţiei</w:t>
            </w:r>
            <w:proofErr w:type="spellEnd"/>
            <w:r w:rsidRPr="00FE5A58">
              <w:rPr>
                <w:b/>
                <w:color w:val="000000"/>
                <w:lang w:val="ro-RO"/>
              </w:rPr>
              <w:t xml:space="preserve"> în domeniul </w:t>
            </w:r>
            <w:proofErr w:type="spellStart"/>
            <w:r w:rsidRPr="00FE5A58">
              <w:rPr>
                <w:b/>
                <w:color w:val="000000"/>
                <w:lang w:val="ro-RO"/>
              </w:rPr>
              <w:t>achiziţiilor</w:t>
            </w:r>
            <w:proofErr w:type="spellEnd"/>
            <w:r w:rsidRPr="00FE5A58">
              <w:rPr>
                <w:b/>
                <w:color w:val="000000"/>
                <w:lang w:val="ro-RO"/>
              </w:rPr>
              <w:t xml:space="preserve"> publice </w:t>
            </w:r>
          </w:p>
          <w:p w14:paraId="524D555D" w14:textId="77777777" w:rsidR="00846A49" w:rsidRPr="00FE5A58" w:rsidRDefault="00846A49" w:rsidP="00846A49">
            <w:pPr>
              <w:spacing w:line="276" w:lineRule="auto"/>
              <w:jc w:val="both"/>
              <w:rPr>
                <w:color w:val="000000"/>
                <w:lang w:val="ro-RO"/>
              </w:rPr>
            </w:pPr>
            <w:r w:rsidRPr="00FE5A58">
              <w:rPr>
                <w:color w:val="000000"/>
                <w:lang w:val="ro-RO"/>
              </w:rPr>
              <w:t>Nu este cazul.</w:t>
            </w:r>
          </w:p>
        </w:tc>
      </w:tr>
      <w:tr w:rsidR="00846A49" w:rsidRPr="00FE5A58" w14:paraId="56137B68" w14:textId="77777777" w:rsidTr="002656DB">
        <w:tc>
          <w:tcPr>
            <w:tcW w:w="10031" w:type="dxa"/>
            <w:gridSpan w:val="7"/>
          </w:tcPr>
          <w:p w14:paraId="11CF2F8A" w14:textId="77777777" w:rsidR="00846A49" w:rsidRDefault="00846A49" w:rsidP="00997610">
            <w:pPr>
              <w:autoSpaceDE w:val="0"/>
              <w:autoSpaceDN w:val="0"/>
              <w:adjustRightInd w:val="0"/>
              <w:jc w:val="both"/>
              <w:rPr>
                <w:b/>
                <w:iCs/>
                <w:color w:val="000000"/>
                <w:lang w:val="ro-RO"/>
              </w:rPr>
            </w:pPr>
            <w:r w:rsidRPr="00FE5A58">
              <w:rPr>
                <w:b/>
                <w:iCs/>
                <w:color w:val="000000"/>
                <w:lang w:val="ro-RO"/>
              </w:rPr>
              <w:t xml:space="preserve">5.3. Conformitatea proiectului de act normativ cu </w:t>
            </w:r>
            <w:proofErr w:type="spellStart"/>
            <w:r w:rsidRPr="00FE5A58">
              <w:rPr>
                <w:b/>
                <w:iCs/>
                <w:color w:val="000000"/>
                <w:lang w:val="ro-RO"/>
              </w:rPr>
              <w:t>legislaţia</w:t>
            </w:r>
            <w:proofErr w:type="spellEnd"/>
            <w:r w:rsidRPr="00FE5A58">
              <w:rPr>
                <w:b/>
                <w:iCs/>
                <w:color w:val="000000"/>
                <w:lang w:val="ro-RO"/>
              </w:rPr>
              <w:t xml:space="preserve"> UE (în cazul proiectelor ce transpun sau asigură aplicarea unor prevederi de drept UE)</w:t>
            </w:r>
          </w:p>
          <w:p w14:paraId="1DBE2CC7" w14:textId="5DD16E89" w:rsidR="00FE5A58" w:rsidRPr="00FE5A58" w:rsidRDefault="00FE5A58" w:rsidP="00997610">
            <w:pPr>
              <w:autoSpaceDE w:val="0"/>
              <w:autoSpaceDN w:val="0"/>
              <w:adjustRightInd w:val="0"/>
              <w:jc w:val="both"/>
              <w:rPr>
                <w:bCs/>
                <w:iCs/>
                <w:color w:val="000000"/>
                <w:lang w:val="ro-RO"/>
              </w:rPr>
            </w:pPr>
            <w:r w:rsidRPr="00FE5A58">
              <w:rPr>
                <w:bCs/>
                <w:iCs/>
                <w:color w:val="000000"/>
                <w:lang w:val="ro-RO"/>
              </w:rPr>
              <w:t>Nu e cazul.</w:t>
            </w:r>
          </w:p>
          <w:p w14:paraId="5D5AD7AB" w14:textId="77777777" w:rsidR="00C023AD" w:rsidRPr="00FE5A58" w:rsidRDefault="00846A49" w:rsidP="00997610">
            <w:pPr>
              <w:autoSpaceDE w:val="0"/>
              <w:autoSpaceDN w:val="0"/>
              <w:adjustRightInd w:val="0"/>
              <w:jc w:val="both"/>
              <w:rPr>
                <w:b/>
                <w:iCs/>
                <w:lang w:val="ro-RO"/>
              </w:rPr>
            </w:pPr>
            <w:r w:rsidRPr="00FE5A58">
              <w:rPr>
                <w:b/>
                <w:iCs/>
                <w:lang w:val="ro-RO"/>
              </w:rPr>
              <w:t xml:space="preserve">5.3.1. Măsuri normative necesare transpunerii directivelor UE </w:t>
            </w:r>
          </w:p>
          <w:p w14:paraId="01109351" w14:textId="77777777" w:rsidR="00846A49" w:rsidRPr="00FE5A58" w:rsidRDefault="00846A49" w:rsidP="00997610">
            <w:pPr>
              <w:autoSpaceDE w:val="0"/>
              <w:autoSpaceDN w:val="0"/>
              <w:adjustRightInd w:val="0"/>
              <w:jc w:val="both"/>
              <w:rPr>
                <w:iCs/>
                <w:color w:val="000000"/>
                <w:lang w:val="ro-RO"/>
              </w:rPr>
            </w:pPr>
            <w:r w:rsidRPr="00FE5A58">
              <w:rPr>
                <w:iCs/>
                <w:color w:val="000000"/>
                <w:lang w:val="ro-RO"/>
              </w:rPr>
              <w:t>Nu este cazul.</w:t>
            </w:r>
          </w:p>
          <w:p w14:paraId="73F035E2" w14:textId="77777777" w:rsidR="00C023AD" w:rsidRPr="00FE5A58" w:rsidRDefault="00846A49" w:rsidP="00997610">
            <w:pPr>
              <w:autoSpaceDE w:val="0"/>
              <w:autoSpaceDN w:val="0"/>
              <w:adjustRightInd w:val="0"/>
              <w:jc w:val="both"/>
              <w:rPr>
                <w:b/>
                <w:iCs/>
                <w:color w:val="000000"/>
                <w:lang w:val="ro-RO"/>
              </w:rPr>
            </w:pPr>
            <w:r w:rsidRPr="00FE5A58">
              <w:rPr>
                <w:b/>
                <w:iCs/>
                <w:color w:val="000000"/>
                <w:lang w:val="ro-RO"/>
              </w:rPr>
              <w:t xml:space="preserve">5.3.2. Măsuri normative necesare aplicării actelor legislative UE </w:t>
            </w:r>
          </w:p>
          <w:p w14:paraId="6150066D" w14:textId="77777777" w:rsidR="00846A49" w:rsidRPr="00FE5A58" w:rsidRDefault="00846A49" w:rsidP="00997610">
            <w:pPr>
              <w:autoSpaceDE w:val="0"/>
              <w:autoSpaceDN w:val="0"/>
              <w:adjustRightInd w:val="0"/>
              <w:jc w:val="both"/>
              <w:rPr>
                <w:color w:val="000000"/>
                <w:lang w:val="ro-RO"/>
              </w:rPr>
            </w:pPr>
            <w:r w:rsidRPr="00FE5A58">
              <w:rPr>
                <w:iCs/>
                <w:color w:val="000000"/>
                <w:lang w:val="ro-RO"/>
              </w:rPr>
              <w:t>Nu este cazul.</w:t>
            </w:r>
          </w:p>
        </w:tc>
      </w:tr>
      <w:tr w:rsidR="00846A49" w:rsidRPr="00FE5A58" w14:paraId="101ADFE6" w14:textId="77777777" w:rsidTr="002656DB">
        <w:tc>
          <w:tcPr>
            <w:tcW w:w="10031" w:type="dxa"/>
            <w:gridSpan w:val="7"/>
          </w:tcPr>
          <w:p w14:paraId="44722FA1" w14:textId="77777777" w:rsidR="00C023AD" w:rsidRPr="00FE5A58" w:rsidRDefault="00846A49" w:rsidP="00997610">
            <w:pPr>
              <w:jc w:val="both"/>
              <w:rPr>
                <w:b/>
                <w:iCs/>
                <w:color w:val="000000"/>
                <w:lang w:val="ro-RO"/>
              </w:rPr>
            </w:pPr>
            <w:r w:rsidRPr="00FE5A58">
              <w:rPr>
                <w:b/>
                <w:iCs/>
                <w:color w:val="000000"/>
                <w:lang w:val="ro-RO"/>
              </w:rPr>
              <w:t xml:space="preserve">5. 4. Hotărâri ale </w:t>
            </w:r>
            <w:proofErr w:type="spellStart"/>
            <w:r w:rsidRPr="00FE5A58">
              <w:rPr>
                <w:b/>
                <w:iCs/>
                <w:color w:val="000000"/>
                <w:lang w:val="ro-RO"/>
              </w:rPr>
              <w:t>Curţii</w:t>
            </w:r>
            <w:proofErr w:type="spellEnd"/>
            <w:r w:rsidRPr="00FE5A58">
              <w:rPr>
                <w:b/>
                <w:iCs/>
                <w:color w:val="000000"/>
                <w:lang w:val="ro-RO"/>
              </w:rPr>
              <w:t xml:space="preserve"> de </w:t>
            </w:r>
            <w:proofErr w:type="spellStart"/>
            <w:r w:rsidRPr="00FE5A58">
              <w:rPr>
                <w:b/>
                <w:iCs/>
                <w:color w:val="000000"/>
                <w:lang w:val="ro-RO"/>
              </w:rPr>
              <w:t>Justiţie</w:t>
            </w:r>
            <w:proofErr w:type="spellEnd"/>
            <w:r w:rsidRPr="00FE5A58">
              <w:rPr>
                <w:b/>
                <w:iCs/>
                <w:color w:val="000000"/>
                <w:lang w:val="ro-RO"/>
              </w:rPr>
              <w:t xml:space="preserve"> a Uniunii Europene</w:t>
            </w:r>
          </w:p>
          <w:p w14:paraId="6B9A0E13" w14:textId="77777777" w:rsidR="00846A49" w:rsidRPr="00FE5A58" w:rsidRDefault="00846A49" w:rsidP="00997610">
            <w:pPr>
              <w:jc w:val="both"/>
              <w:rPr>
                <w:color w:val="000000"/>
                <w:lang w:val="ro-RO"/>
              </w:rPr>
            </w:pPr>
            <w:r w:rsidRPr="00FE5A58">
              <w:rPr>
                <w:b/>
                <w:iCs/>
                <w:color w:val="000000"/>
                <w:lang w:val="ro-RO"/>
              </w:rPr>
              <w:t xml:space="preserve"> </w:t>
            </w:r>
            <w:r w:rsidRPr="00FE5A58">
              <w:rPr>
                <w:color w:val="000000"/>
                <w:lang w:val="ro-RO"/>
              </w:rPr>
              <w:t>Nu este cazul</w:t>
            </w:r>
          </w:p>
        </w:tc>
      </w:tr>
      <w:tr w:rsidR="00846A49" w:rsidRPr="00FE5A58" w14:paraId="6B3E65F7" w14:textId="77777777" w:rsidTr="002656DB">
        <w:tc>
          <w:tcPr>
            <w:tcW w:w="10031" w:type="dxa"/>
            <w:gridSpan w:val="7"/>
          </w:tcPr>
          <w:p w14:paraId="720C2ABB" w14:textId="77777777" w:rsidR="00C023AD" w:rsidRPr="00FE5A58" w:rsidRDefault="00846A49" w:rsidP="00997610">
            <w:pPr>
              <w:autoSpaceDE w:val="0"/>
              <w:autoSpaceDN w:val="0"/>
              <w:adjustRightInd w:val="0"/>
              <w:jc w:val="both"/>
              <w:rPr>
                <w:b/>
                <w:iCs/>
                <w:color w:val="000000"/>
                <w:lang w:val="ro-RO"/>
              </w:rPr>
            </w:pPr>
            <w:r w:rsidRPr="00FE5A58">
              <w:rPr>
                <w:b/>
                <w:iCs/>
                <w:color w:val="000000"/>
                <w:lang w:val="ro-RO"/>
              </w:rPr>
              <w:t xml:space="preserve">5.5. Alte acte normative </w:t>
            </w:r>
            <w:proofErr w:type="spellStart"/>
            <w:r w:rsidRPr="00FE5A58">
              <w:rPr>
                <w:b/>
                <w:iCs/>
                <w:color w:val="000000"/>
                <w:lang w:val="ro-RO"/>
              </w:rPr>
              <w:t>şi</w:t>
            </w:r>
            <w:proofErr w:type="spellEnd"/>
            <w:r w:rsidRPr="00FE5A58">
              <w:rPr>
                <w:b/>
                <w:iCs/>
                <w:color w:val="000000"/>
                <w:lang w:val="ro-RO"/>
              </w:rPr>
              <w:t xml:space="preserve">/sau documente </w:t>
            </w:r>
            <w:proofErr w:type="spellStart"/>
            <w:r w:rsidRPr="00FE5A58">
              <w:rPr>
                <w:b/>
                <w:iCs/>
                <w:color w:val="000000"/>
                <w:lang w:val="ro-RO"/>
              </w:rPr>
              <w:t>internaţionale</w:t>
            </w:r>
            <w:proofErr w:type="spellEnd"/>
            <w:r w:rsidRPr="00FE5A58">
              <w:rPr>
                <w:b/>
                <w:iCs/>
                <w:color w:val="000000"/>
                <w:lang w:val="ro-RO"/>
              </w:rPr>
              <w:t xml:space="preserve"> din care decurg angajamente, făcându-se referire la un anume acord, o anume </w:t>
            </w:r>
            <w:proofErr w:type="spellStart"/>
            <w:r w:rsidRPr="00FE5A58">
              <w:rPr>
                <w:b/>
                <w:iCs/>
                <w:color w:val="000000"/>
                <w:lang w:val="ro-RO"/>
              </w:rPr>
              <w:t>rezoluţie</w:t>
            </w:r>
            <w:proofErr w:type="spellEnd"/>
            <w:r w:rsidRPr="00FE5A58">
              <w:rPr>
                <w:b/>
                <w:iCs/>
                <w:color w:val="000000"/>
                <w:lang w:val="ro-RO"/>
              </w:rPr>
              <w:t xml:space="preserve"> sau recomandare </w:t>
            </w:r>
            <w:proofErr w:type="spellStart"/>
            <w:r w:rsidRPr="00FE5A58">
              <w:rPr>
                <w:b/>
                <w:iCs/>
                <w:color w:val="000000"/>
                <w:lang w:val="ro-RO"/>
              </w:rPr>
              <w:t>internaţională</w:t>
            </w:r>
            <w:proofErr w:type="spellEnd"/>
            <w:r w:rsidRPr="00FE5A58">
              <w:rPr>
                <w:b/>
                <w:iCs/>
                <w:color w:val="000000"/>
                <w:lang w:val="ro-RO"/>
              </w:rPr>
              <w:t xml:space="preserve"> ori la alt document al unei </w:t>
            </w:r>
            <w:proofErr w:type="spellStart"/>
            <w:r w:rsidRPr="00FE5A58">
              <w:rPr>
                <w:b/>
                <w:iCs/>
                <w:color w:val="000000"/>
                <w:lang w:val="ro-RO"/>
              </w:rPr>
              <w:t>organizaţii</w:t>
            </w:r>
            <w:proofErr w:type="spellEnd"/>
            <w:r w:rsidRPr="00FE5A58">
              <w:rPr>
                <w:b/>
                <w:iCs/>
                <w:color w:val="000000"/>
                <w:lang w:val="ro-RO"/>
              </w:rPr>
              <w:t xml:space="preserve"> </w:t>
            </w:r>
            <w:proofErr w:type="spellStart"/>
            <w:r w:rsidRPr="00FE5A58">
              <w:rPr>
                <w:b/>
                <w:iCs/>
                <w:color w:val="000000"/>
                <w:lang w:val="ro-RO"/>
              </w:rPr>
              <w:t>internaţionale</w:t>
            </w:r>
            <w:proofErr w:type="spellEnd"/>
            <w:r w:rsidRPr="00FE5A58">
              <w:rPr>
                <w:b/>
                <w:iCs/>
                <w:color w:val="000000"/>
                <w:lang w:val="ro-RO"/>
              </w:rPr>
              <w:t xml:space="preserve">: </w:t>
            </w:r>
          </w:p>
          <w:p w14:paraId="57D04044" w14:textId="77777777" w:rsidR="00846A49" w:rsidRPr="00FE5A58" w:rsidRDefault="00846A49" w:rsidP="00997610">
            <w:pPr>
              <w:autoSpaceDE w:val="0"/>
              <w:autoSpaceDN w:val="0"/>
              <w:adjustRightInd w:val="0"/>
              <w:jc w:val="both"/>
              <w:rPr>
                <w:color w:val="000000"/>
                <w:lang w:val="ro-RO"/>
              </w:rPr>
            </w:pPr>
            <w:r w:rsidRPr="00FE5A58">
              <w:rPr>
                <w:color w:val="000000"/>
                <w:lang w:val="ro-RO"/>
              </w:rPr>
              <w:t>Nu este cazul</w:t>
            </w:r>
          </w:p>
        </w:tc>
      </w:tr>
      <w:tr w:rsidR="00846A49" w:rsidRPr="00254ACD" w14:paraId="444CF287" w14:textId="77777777" w:rsidTr="00997610">
        <w:trPr>
          <w:trHeight w:val="75"/>
        </w:trPr>
        <w:tc>
          <w:tcPr>
            <w:tcW w:w="10031" w:type="dxa"/>
            <w:gridSpan w:val="7"/>
          </w:tcPr>
          <w:p w14:paraId="53DA98D5" w14:textId="77777777" w:rsidR="00C023AD" w:rsidRPr="00FE5A58" w:rsidRDefault="00846A49" w:rsidP="00997610">
            <w:pPr>
              <w:jc w:val="both"/>
              <w:rPr>
                <w:b/>
                <w:color w:val="000000"/>
                <w:lang w:val="ro-RO"/>
              </w:rPr>
            </w:pPr>
            <w:r w:rsidRPr="00FE5A58">
              <w:rPr>
                <w:b/>
                <w:color w:val="000000"/>
                <w:lang w:val="ro-RO"/>
              </w:rPr>
              <w:t xml:space="preserve">5.6. Alte </w:t>
            </w:r>
            <w:proofErr w:type="spellStart"/>
            <w:r w:rsidRPr="00FE5A58">
              <w:rPr>
                <w:b/>
                <w:color w:val="000000"/>
                <w:lang w:val="ro-RO"/>
              </w:rPr>
              <w:t>informaţii</w:t>
            </w:r>
            <w:proofErr w:type="spellEnd"/>
            <w:r w:rsidRPr="00FE5A58">
              <w:rPr>
                <w:b/>
                <w:color w:val="000000"/>
                <w:lang w:val="ro-RO"/>
              </w:rPr>
              <w:t xml:space="preserve"> </w:t>
            </w:r>
          </w:p>
          <w:p w14:paraId="042616FF" w14:textId="77777777" w:rsidR="00846A49" w:rsidRPr="00FE5A58" w:rsidRDefault="00846A49" w:rsidP="00997610">
            <w:pPr>
              <w:jc w:val="both"/>
              <w:rPr>
                <w:color w:val="000000"/>
                <w:lang w:val="ro-RO"/>
              </w:rPr>
            </w:pPr>
            <w:r w:rsidRPr="00FE5A58">
              <w:rPr>
                <w:color w:val="000000"/>
                <w:lang w:val="ro-RO"/>
              </w:rPr>
              <w:t>Nu este cazul</w:t>
            </w:r>
          </w:p>
        </w:tc>
      </w:tr>
      <w:tr w:rsidR="00846A49" w:rsidRPr="00254ACD" w14:paraId="375AF85A" w14:textId="77777777" w:rsidTr="002656DB">
        <w:tc>
          <w:tcPr>
            <w:tcW w:w="10031" w:type="dxa"/>
            <w:gridSpan w:val="7"/>
          </w:tcPr>
          <w:p w14:paraId="5701003B" w14:textId="77777777" w:rsidR="00846A49" w:rsidRPr="00FE5A58" w:rsidRDefault="00846A49" w:rsidP="00997610">
            <w:pPr>
              <w:jc w:val="center"/>
              <w:rPr>
                <w:b/>
                <w:color w:val="000000"/>
                <w:lang w:val="ro-RO"/>
              </w:rPr>
            </w:pPr>
            <w:proofErr w:type="spellStart"/>
            <w:r w:rsidRPr="00FE5A58">
              <w:rPr>
                <w:b/>
                <w:color w:val="000000"/>
                <w:lang w:val="ro-RO"/>
              </w:rPr>
              <w:t>Secţiunea</w:t>
            </w:r>
            <w:proofErr w:type="spellEnd"/>
            <w:r w:rsidRPr="00FE5A58">
              <w:rPr>
                <w:b/>
                <w:color w:val="000000"/>
                <w:lang w:val="ro-RO"/>
              </w:rPr>
              <w:t xml:space="preserve"> a 6-a</w:t>
            </w:r>
          </w:p>
          <w:p w14:paraId="5C72B372" w14:textId="77777777" w:rsidR="00846A49" w:rsidRPr="00FE5A58" w:rsidRDefault="00846A49" w:rsidP="00997610">
            <w:pPr>
              <w:jc w:val="center"/>
              <w:rPr>
                <w:b/>
                <w:color w:val="000000"/>
                <w:lang w:val="ro-RO"/>
              </w:rPr>
            </w:pPr>
            <w:r w:rsidRPr="00FE5A58">
              <w:rPr>
                <w:b/>
                <w:color w:val="000000"/>
                <w:lang w:val="ro-RO"/>
              </w:rPr>
              <w:t>Consultările efectuate în vederea elaborării proiectului de act normativ</w:t>
            </w:r>
          </w:p>
        </w:tc>
      </w:tr>
      <w:tr w:rsidR="00846A49" w:rsidRPr="00254ACD" w14:paraId="5B42988C" w14:textId="77777777" w:rsidTr="002656DB">
        <w:tc>
          <w:tcPr>
            <w:tcW w:w="10031" w:type="dxa"/>
            <w:gridSpan w:val="7"/>
          </w:tcPr>
          <w:p w14:paraId="37F669AA" w14:textId="77777777" w:rsidR="00846A49" w:rsidRPr="00FE5A58" w:rsidRDefault="00846A49" w:rsidP="00997610">
            <w:pPr>
              <w:jc w:val="both"/>
              <w:rPr>
                <w:b/>
                <w:color w:val="000000"/>
                <w:lang w:val="ro-RO"/>
              </w:rPr>
            </w:pPr>
            <w:r w:rsidRPr="00FE5A58">
              <w:rPr>
                <w:b/>
                <w:color w:val="000000"/>
                <w:lang w:val="ro-RO"/>
              </w:rPr>
              <w:t>6.1.</w:t>
            </w:r>
            <w:r w:rsidRPr="00FE5A58">
              <w:rPr>
                <w:color w:val="000000"/>
                <w:lang w:val="ro-RO"/>
              </w:rPr>
              <w:t xml:space="preserve"> </w:t>
            </w:r>
            <w:proofErr w:type="spellStart"/>
            <w:r w:rsidRPr="00FE5A58">
              <w:rPr>
                <w:b/>
                <w:color w:val="000000"/>
                <w:lang w:val="ro-RO"/>
              </w:rPr>
              <w:t>Informaţii</w:t>
            </w:r>
            <w:proofErr w:type="spellEnd"/>
            <w:r w:rsidRPr="00FE5A58">
              <w:rPr>
                <w:b/>
                <w:color w:val="000000"/>
                <w:lang w:val="ro-RO"/>
              </w:rPr>
              <w:t xml:space="preserve"> privind neaplicarea procedurii de participare la elaborarea actelor normative </w:t>
            </w:r>
          </w:p>
          <w:p w14:paraId="034077DA" w14:textId="77777777" w:rsidR="00846A49" w:rsidRPr="00FE5A58" w:rsidRDefault="00846A49" w:rsidP="00997610">
            <w:pPr>
              <w:jc w:val="both"/>
              <w:rPr>
                <w:color w:val="000000"/>
                <w:lang w:val="ro-RO"/>
              </w:rPr>
            </w:pPr>
            <w:r w:rsidRPr="00FE5A58">
              <w:rPr>
                <w:color w:val="000000"/>
                <w:lang w:val="ro-RO"/>
              </w:rPr>
              <w:t>Prezentul proiect nu se referă la acest subiect.</w:t>
            </w:r>
          </w:p>
        </w:tc>
      </w:tr>
      <w:tr w:rsidR="00846A49" w:rsidRPr="00FE5A58" w14:paraId="740C5604" w14:textId="77777777" w:rsidTr="002656DB">
        <w:tc>
          <w:tcPr>
            <w:tcW w:w="10031" w:type="dxa"/>
            <w:gridSpan w:val="7"/>
          </w:tcPr>
          <w:p w14:paraId="24E30F1A" w14:textId="77777777" w:rsidR="00C023AD" w:rsidRPr="00FE5A58" w:rsidRDefault="00846A49" w:rsidP="00C023AD">
            <w:pPr>
              <w:jc w:val="both"/>
              <w:rPr>
                <w:bCs/>
                <w:color w:val="000000"/>
                <w:lang w:val="ro-RO"/>
              </w:rPr>
            </w:pPr>
            <w:r w:rsidRPr="00FE5A58">
              <w:rPr>
                <w:b/>
                <w:color w:val="000000"/>
                <w:lang w:val="ro-RO"/>
              </w:rPr>
              <w:t>6. 2.</w:t>
            </w:r>
            <w:r w:rsidRPr="00FE5A58">
              <w:rPr>
                <w:color w:val="000000"/>
                <w:lang w:val="ro-RO"/>
              </w:rPr>
              <w:t xml:space="preserve"> </w:t>
            </w:r>
            <w:proofErr w:type="spellStart"/>
            <w:r w:rsidRPr="00FE5A58">
              <w:rPr>
                <w:b/>
                <w:color w:val="000000"/>
                <w:lang w:val="ro-RO"/>
              </w:rPr>
              <w:t>Informaţii</w:t>
            </w:r>
            <w:proofErr w:type="spellEnd"/>
            <w:r w:rsidRPr="00FE5A58">
              <w:rPr>
                <w:b/>
                <w:color w:val="000000"/>
                <w:lang w:val="ro-RO"/>
              </w:rPr>
              <w:t xml:space="preserve"> privind procesul de consultare cu </w:t>
            </w:r>
            <w:proofErr w:type="spellStart"/>
            <w:r w:rsidRPr="00FE5A58">
              <w:rPr>
                <w:b/>
                <w:color w:val="000000"/>
                <w:lang w:val="ro-RO"/>
              </w:rPr>
              <w:t>organizaţii</w:t>
            </w:r>
            <w:proofErr w:type="spellEnd"/>
            <w:r w:rsidRPr="00FE5A58">
              <w:rPr>
                <w:b/>
                <w:color w:val="000000"/>
                <w:lang w:val="ro-RO"/>
              </w:rPr>
              <w:t xml:space="preserve"> neguvernamentale, institute de cercetare </w:t>
            </w:r>
            <w:proofErr w:type="spellStart"/>
            <w:r w:rsidRPr="00FE5A58">
              <w:rPr>
                <w:b/>
                <w:color w:val="000000"/>
                <w:lang w:val="ro-RO"/>
              </w:rPr>
              <w:t>şi</w:t>
            </w:r>
            <w:proofErr w:type="spellEnd"/>
            <w:r w:rsidRPr="00FE5A58">
              <w:rPr>
                <w:b/>
                <w:color w:val="000000"/>
                <w:lang w:val="ro-RO"/>
              </w:rPr>
              <w:t xml:space="preserve"> alte organisme implicate </w:t>
            </w:r>
          </w:p>
          <w:p w14:paraId="31466137" w14:textId="567F69BE" w:rsidR="00FD36ED" w:rsidRPr="00FE5A58" w:rsidRDefault="00F83A32" w:rsidP="00C023AD">
            <w:pPr>
              <w:jc w:val="both"/>
              <w:rPr>
                <w:lang w:val="ro-RO"/>
              </w:rPr>
            </w:pPr>
            <w:r>
              <w:rPr>
                <w:lang w:val="ro-RO"/>
              </w:rPr>
              <w:t>Nu este cazul.</w:t>
            </w:r>
          </w:p>
        </w:tc>
      </w:tr>
      <w:tr w:rsidR="00846A49" w:rsidRPr="00254ACD" w14:paraId="3289F6F2" w14:textId="77777777" w:rsidTr="002656DB">
        <w:tc>
          <w:tcPr>
            <w:tcW w:w="10031" w:type="dxa"/>
            <w:gridSpan w:val="7"/>
          </w:tcPr>
          <w:p w14:paraId="18611A50" w14:textId="40572740" w:rsidR="009E6781" w:rsidRPr="00FE5A58" w:rsidRDefault="00846A49" w:rsidP="00997610">
            <w:pPr>
              <w:jc w:val="both"/>
              <w:rPr>
                <w:b/>
                <w:bCs/>
                <w:color w:val="000000"/>
                <w:lang w:val="ro-RO"/>
              </w:rPr>
            </w:pPr>
            <w:r w:rsidRPr="00FE5A58">
              <w:rPr>
                <w:b/>
                <w:color w:val="000000"/>
                <w:lang w:val="ro-RO"/>
              </w:rPr>
              <w:t xml:space="preserve"> 6.3. Informații despre consultările organizate cu autoritățile administrației publice locale: </w:t>
            </w:r>
            <w:proofErr w:type="spellStart"/>
            <w:r w:rsidRPr="00FE5A58">
              <w:rPr>
                <w:b/>
                <w:bCs/>
                <w:color w:val="000000"/>
                <w:lang w:val="ro-RO"/>
              </w:rPr>
              <w:t>administraţiei</w:t>
            </w:r>
            <w:proofErr w:type="spellEnd"/>
            <w:r w:rsidRPr="00FE5A58">
              <w:rPr>
                <w:b/>
                <w:bCs/>
                <w:color w:val="000000"/>
                <w:lang w:val="ro-RO"/>
              </w:rPr>
              <w:t xml:space="preserve"> publice locale la elaborarea proiectelor de acte normative </w:t>
            </w:r>
            <w:r w:rsidR="009E6781" w:rsidRPr="009E6781">
              <w:rPr>
                <w:b/>
                <w:bCs/>
                <w:color w:val="000000"/>
                <w:lang w:val="ro-RO"/>
              </w:rPr>
              <w:t xml:space="preserve">Proiectul de act normativ </w:t>
            </w:r>
            <w:r w:rsidR="009E6781">
              <w:rPr>
                <w:b/>
                <w:bCs/>
                <w:color w:val="000000"/>
                <w:lang w:val="ro-RO"/>
              </w:rPr>
              <w:t>va fi</w:t>
            </w:r>
            <w:r w:rsidR="009E6781" w:rsidRPr="009E6781">
              <w:rPr>
                <w:b/>
                <w:bCs/>
                <w:color w:val="000000"/>
                <w:lang w:val="ro-RO"/>
              </w:rPr>
              <w:t xml:space="preserve"> transmis pentru consultare structurilor asociative ale autorităților administrației publice locale, </w:t>
            </w:r>
            <w:r w:rsidR="009E6781">
              <w:rPr>
                <w:b/>
                <w:bCs/>
                <w:color w:val="000000"/>
                <w:lang w:val="ro-RO"/>
              </w:rPr>
              <w:t xml:space="preserve">urmând a se </w:t>
            </w:r>
            <w:r w:rsidR="009E6781" w:rsidRPr="009E6781">
              <w:rPr>
                <w:b/>
                <w:bCs/>
                <w:color w:val="000000"/>
                <w:lang w:val="ro-RO"/>
              </w:rPr>
              <w:t>solicit</w:t>
            </w:r>
            <w:r w:rsidR="009E6781">
              <w:rPr>
                <w:b/>
                <w:bCs/>
                <w:color w:val="000000"/>
                <w:lang w:val="ro-RO"/>
              </w:rPr>
              <w:t xml:space="preserve">area unui </w:t>
            </w:r>
            <w:r w:rsidR="009E6781" w:rsidRPr="009E6781">
              <w:rPr>
                <w:b/>
                <w:bCs/>
                <w:color w:val="000000"/>
                <w:lang w:val="ro-RO"/>
              </w:rPr>
              <w:t>punct de vedere de la Asociația Comunelor din România, Asociația Municipiilor din România, Asociația Orașelor din România, respectiv de la Uniunea Națională a Consiliilor Județene din România.</w:t>
            </w:r>
          </w:p>
          <w:p w14:paraId="5536CE02" w14:textId="6A899A97" w:rsidR="00846A49" w:rsidRPr="00FE5A58" w:rsidRDefault="00846A49" w:rsidP="00997610">
            <w:pPr>
              <w:jc w:val="both"/>
              <w:rPr>
                <w:color w:val="000000"/>
                <w:lang w:val="ro-RO"/>
              </w:rPr>
            </w:pPr>
          </w:p>
        </w:tc>
      </w:tr>
      <w:tr w:rsidR="00846A49" w:rsidRPr="00FE5A58" w14:paraId="2057F33A" w14:textId="77777777" w:rsidTr="000B618E">
        <w:trPr>
          <w:trHeight w:val="528"/>
        </w:trPr>
        <w:tc>
          <w:tcPr>
            <w:tcW w:w="10031" w:type="dxa"/>
            <w:gridSpan w:val="7"/>
          </w:tcPr>
          <w:p w14:paraId="71D3820B" w14:textId="77777777" w:rsidR="00C023AD" w:rsidRPr="00FE5A58" w:rsidRDefault="00846A49" w:rsidP="00997610">
            <w:pPr>
              <w:jc w:val="both"/>
              <w:rPr>
                <w:b/>
                <w:color w:val="000000"/>
                <w:lang w:val="ro-RO"/>
              </w:rPr>
            </w:pPr>
            <w:r w:rsidRPr="00FE5A58">
              <w:rPr>
                <w:b/>
                <w:color w:val="000000"/>
                <w:lang w:val="ro-RO"/>
              </w:rPr>
              <w:t xml:space="preserve">6.4. Informații privind puncte de vedere/opinii emise de organisme consultative constituite prin acte normative  </w:t>
            </w:r>
          </w:p>
          <w:p w14:paraId="5A30E1EC" w14:textId="77777777" w:rsidR="00846A49" w:rsidRPr="00FE5A58" w:rsidRDefault="00846A49" w:rsidP="00997610">
            <w:pPr>
              <w:jc w:val="both"/>
              <w:rPr>
                <w:color w:val="000000"/>
                <w:lang w:val="ro-RO"/>
              </w:rPr>
            </w:pPr>
            <w:r w:rsidRPr="00FE5A58">
              <w:rPr>
                <w:color w:val="000000"/>
                <w:lang w:val="ro-RO"/>
              </w:rPr>
              <w:t>Nu este cazul.</w:t>
            </w:r>
          </w:p>
        </w:tc>
      </w:tr>
      <w:tr w:rsidR="00846A49" w:rsidRPr="00254ACD" w14:paraId="1C96C4B8" w14:textId="77777777" w:rsidTr="000B618E">
        <w:trPr>
          <w:trHeight w:val="1878"/>
        </w:trPr>
        <w:tc>
          <w:tcPr>
            <w:tcW w:w="10031" w:type="dxa"/>
            <w:gridSpan w:val="7"/>
          </w:tcPr>
          <w:p w14:paraId="691ABF66" w14:textId="77777777" w:rsidR="00846A49" w:rsidRPr="00FE5A58" w:rsidRDefault="00C023AD" w:rsidP="00846A49">
            <w:pPr>
              <w:autoSpaceDE w:val="0"/>
              <w:autoSpaceDN w:val="0"/>
              <w:adjustRightInd w:val="0"/>
              <w:jc w:val="both"/>
              <w:rPr>
                <w:b/>
                <w:color w:val="000000"/>
                <w:lang w:val="ro-RO"/>
              </w:rPr>
            </w:pPr>
            <w:r w:rsidRPr="00FE5A58">
              <w:rPr>
                <w:b/>
                <w:color w:val="000000"/>
                <w:lang w:val="ro-RO"/>
              </w:rPr>
              <w:t>6.</w:t>
            </w:r>
            <w:r w:rsidR="00846A49" w:rsidRPr="00FE5A58">
              <w:rPr>
                <w:b/>
                <w:color w:val="000000"/>
                <w:lang w:val="ro-RO"/>
              </w:rPr>
              <w:t>5.</w:t>
            </w:r>
            <w:r w:rsidR="00846A49" w:rsidRPr="00FE5A58">
              <w:rPr>
                <w:b/>
                <w:bCs/>
                <w:color w:val="000000"/>
                <w:lang w:val="ro-RO"/>
              </w:rPr>
              <w:t xml:space="preserve"> </w:t>
            </w:r>
            <w:proofErr w:type="spellStart"/>
            <w:r w:rsidR="00846A49" w:rsidRPr="00FE5A58">
              <w:rPr>
                <w:b/>
                <w:bCs/>
                <w:color w:val="000000"/>
                <w:lang w:val="ro-RO"/>
              </w:rPr>
              <w:t>Informaţii</w:t>
            </w:r>
            <w:proofErr w:type="spellEnd"/>
            <w:r w:rsidR="00846A49" w:rsidRPr="00FE5A58">
              <w:rPr>
                <w:b/>
                <w:bCs/>
                <w:color w:val="000000"/>
                <w:lang w:val="ro-RO"/>
              </w:rPr>
              <w:t xml:space="preserve"> privind avizarea de către</w:t>
            </w:r>
            <w:r w:rsidR="00846A49" w:rsidRPr="00FE5A58">
              <w:rPr>
                <w:b/>
                <w:color w:val="000000"/>
                <w:lang w:val="ro-RO"/>
              </w:rPr>
              <w:t>:</w:t>
            </w:r>
          </w:p>
          <w:p w14:paraId="422DA943" w14:textId="77777777" w:rsidR="00846A49" w:rsidRPr="00FE5A58" w:rsidRDefault="00846A49" w:rsidP="00846A49">
            <w:pPr>
              <w:tabs>
                <w:tab w:val="left" w:pos="6195"/>
              </w:tabs>
              <w:autoSpaceDE w:val="0"/>
              <w:autoSpaceDN w:val="0"/>
              <w:adjustRightInd w:val="0"/>
              <w:jc w:val="both"/>
              <w:rPr>
                <w:b/>
                <w:color w:val="000000"/>
                <w:lang w:val="ro-RO"/>
              </w:rPr>
            </w:pPr>
            <w:r w:rsidRPr="00FE5A58">
              <w:rPr>
                <w:b/>
                <w:color w:val="000000"/>
                <w:lang w:val="ro-RO"/>
              </w:rPr>
              <w:t>a) Consiliul Legislativ</w:t>
            </w:r>
            <w:r w:rsidRPr="00FE5A58">
              <w:rPr>
                <w:b/>
                <w:color w:val="000000"/>
                <w:lang w:val="ro-RO"/>
              </w:rPr>
              <w:tab/>
            </w:r>
          </w:p>
          <w:p w14:paraId="6CC336D2" w14:textId="77777777" w:rsidR="00846A49" w:rsidRPr="00FE5A58" w:rsidRDefault="00846A49" w:rsidP="00846A49">
            <w:pPr>
              <w:autoSpaceDE w:val="0"/>
              <w:autoSpaceDN w:val="0"/>
              <w:adjustRightInd w:val="0"/>
              <w:jc w:val="both"/>
              <w:rPr>
                <w:b/>
                <w:color w:val="000000"/>
                <w:lang w:val="ro-RO"/>
              </w:rPr>
            </w:pPr>
            <w:r w:rsidRPr="00FE5A58">
              <w:rPr>
                <w:b/>
                <w:color w:val="000000"/>
                <w:lang w:val="ro-RO"/>
              </w:rPr>
              <w:t xml:space="preserve">b) Consiliul Suprem de Apărare a </w:t>
            </w:r>
            <w:proofErr w:type="spellStart"/>
            <w:r w:rsidRPr="00FE5A58">
              <w:rPr>
                <w:b/>
                <w:color w:val="000000"/>
                <w:lang w:val="ro-RO"/>
              </w:rPr>
              <w:t>Ţării</w:t>
            </w:r>
            <w:proofErr w:type="spellEnd"/>
          </w:p>
          <w:p w14:paraId="181AFB12" w14:textId="77777777" w:rsidR="00846A49" w:rsidRPr="00FE5A58" w:rsidRDefault="00846A49" w:rsidP="00846A49">
            <w:pPr>
              <w:autoSpaceDE w:val="0"/>
              <w:autoSpaceDN w:val="0"/>
              <w:adjustRightInd w:val="0"/>
              <w:jc w:val="both"/>
              <w:rPr>
                <w:b/>
                <w:color w:val="000000"/>
                <w:lang w:val="ro-RO"/>
              </w:rPr>
            </w:pPr>
            <w:r w:rsidRPr="00FE5A58">
              <w:rPr>
                <w:b/>
                <w:color w:val="000000"/>
                <w:lang w:val="ro-RO"/>
              </w:rPr>
              <w:t xml:space="preserve">c) Consiliul Economic </w:t>
            </w:r>
            <w:proofErr w:type="spellStart"/>
            <w:r w:rsidRPr="00FE5A58">
              <w:rPr>
                <w:b/>
                <w:color w:val="000000"/>
                <w:lang w:val="ro-RO"/>
              </w:rPr>
              <w:t>şi</w:t>
            </w:r>
            <w:proofErr w:type="spellEnd"/>
            <w:r w:rsidRPr="00FE5A58">
              <w:rPr>
                <w:b/>
                <w:color w:val="000000"/>
                <w:lang w:val="ro-RO"/>
              </w:rPr>
              <w:t xml:space="preserve"> Social</w:t>
            </w:r>
          </w:p>
          <w:p w14:paraId="5E1EA0DA" w14:textId="77777777" w:rsidR="00846A49" w:rsidRPr="00FE5A58" w:rsidRDefault="00846A49" w:rsidP="00846A49">
            <w:pPr>
              <w:autoSpaceDE w:val="0"/>
              <w:autoSpaceDN w:val="0"/>
              <w:adjustRightInd w:val="0"/>
              <w:jc w:val="both"/>
              <w:rPr>
                <w:b/>
                <w:color w:val="000000"/>
                <w:lang w:val="ro-RO"/>
              </w:rPr>
            </w:pPr>
            <w:r w:rsidRPr="00FE5A58">
              <w:rPr>
                <w:b/>
                <w:color w:val="000000"/>
                <w:lang w:val="ro-RO"/>
              </w:rPr>
              <w:t xml:space="preserve">d) Consiliul </w:t>
            </w:r>
            <w:proofErr w:type="spellStart"/>
            <w:r w:rsidRPr="00FE5A58">
              <w:rPr>
                <w:b/>
                <w:color w:val="000000"/>
                <w:lang w:val="ro-RO"/>
              </w:rPr>
              <w:t>Concurenţei</w:t>
            </w:r>
            <w:proofErr w:type="spellEnd"/>
            <w:r w:rsidRPr="00FE5A58">
              <w:rPr>
                <w:b/>
                <w:color w:val="000000"/>
                <w:lang w:val="ro-RO"/>
              </w:rPr>
              <w:t xml:space="preserve"> </w:t>
            </w:r>
          </w:p>
          <w:p w14:paraId="6EDDED0A" w14:textId="2972154C" w:rsidR="009E6781" w:rsidRPr="00FE5A58" w:rsidRDefault="00846A49" w:rsidP="00846A49">
            <w:pPr>
              <w:jc w:val="both"/>
              <w:rPr>
                <w:b/>
                <w:color w:val="000000"/>
                <w:lang w:val="ro-RO"/>
              </w:rPr>
            </w:pPr>
            <w:r w:rsidRPr="00FE5A58">
              <w:rPr>
                <w:b/>
                <w:color w:val="000000"/>
                <w:lang w:val="ro-RO"/>
              </w:rPr>
              <w:t>e) Curtea de Conturi</w:t>
            </w:r>
          </w:p>
          <w:p w14:paraId="214CDBBE" w14:textId="26E45DD9" w:rsidR="00846A49" w:rsidRPr="00FE5A58" w:rsidRDefault="00C023AD" w:rsidP="00846A49">
            <w:pPr>
              <w:jc w:val="both"/>
              <w:rPr>
                <w:color w:val="000000"/>
                <w:lang w:val="ro-RO"/>
              </w:rPr>
            </w:pPr>
            <w:r w:rsidRPr="001707B0">
              <w:rPr>
                <w:color w:val="000000"/>
                <w:lang w:val="ro-RO"/>
              </w:rPr>
              <w:t xml:space="preserve">Prezentul proiect urmează a fi avizat de către </w:t>
            </w:r>
            <w:r w:rsidR="009E6781" w:rsidRPr="001707B0">
              <w:rPr>
                <w:color w:val="000000"/>
                <w:lang w:val="ro-RO"/>
              </w:rPr>
              <w:t xml:space="preserve">Consiliul Superior al Magistraturii, </w:t>
            </w:r>
            <w:r w:rsidRPr="001707B0">
              <w:rPr>
                <w:color w:val="000000"/>
                <w:lang w:val="ro-RO"/>
              </w:rPr>
              <w:t>Consiliul Legislativ și de către Consiliul Economic și Social.</w:t>
            </w:r>
          </w:p>
        </w:tc>
      </w:tr>
      <w:tr w:rsidR="00846A49" w:rsidRPr="00254ACD" w14:paraId="47C56E0A" w14:textId="77777777" w:rsidTr="002656DB">
        <w:tc>
          <w:tcPr>
            <w:tcW w:w="10031" w:type="dxa"/>
            <w:gridSpan w:val="7"/>
            <w:tcBorders>
              <w:bottom w:val="single" w:sz="4" w:space="0" w:color="auto"/>
            </w:tcBorders>
          </w:tcPr>
          <w:p w14:paraId="5F057F43" w14:textId="77777777" w:rsidR="00C023AD" w:rsidRPr="00FE5A58" w:rsidRDefault="00846A49" w:rsidP="00846A49">
            <w:pPr>
              <w:spacing w:line="276" w:lineRule="auto"/>
              <w:jc w:val="both"/>
              <w:rPr>
                <w:b/>
                <w:color w:val="000000"/>
                <w:lang w:val="ro-RO"/>
              </w:rPr>
            </w:pPr>
            <w:r w:rsidRPr="00FE5A58">
              <w:rPr>
                <w:b/>
                <w:color w:val="000000"/>
                <w:lang w:val="ro-RO"/>
              </w:rPr>
              <w:t xml:space="preserve">6.6. Alte </w:t>
            </w:r>
            <w:proofErr w:type="spellStart"/>
            <w:r w:rsidRPr="00FE5A58">
              <w:rPr>
                <w:b/>
                <w:color w:val="000000"/>
                <w:lang w:val="ro-RO"/>
              </w:rPr>
              <w:t>informaţii</w:t>
            </w:r>
            <w:proofErr w:type="spellEnd"/>
            <w:r w:rsidRPr="00FE5A58">
              <w:rPr>
                <w:b/>
                <w:color w:val="000000"/>
                <w:lang w:val="ro-RO"/>
              </w:rPr>
              <w:t xml:space="preserve"> </w:t>
            </w:r>
          </w:p>
          <w:p w14:paraId="70F024EC" w14:textId="77777777" w:rsidR="00846A49" w:rsidRPr="00FE5A58" w:rsidRDefault="00C023AD" w:rsidP="00846A49">
            <w:pPr>
              <w:spacing w:line="276" w:lineRule="auto"/>
              <w:jc w:val="both"/>
              <w:rPr>
                <w:color w:val="000000"/>
                <w:lang w:val="ro-RO"/>
              </w:rPr>
            </w:pPr>
            <w:r w:rsidRPr="00FE5A58">
              <w:rPr>
                <w:color w:val="000000"/>
                <w:lang w:val="ro-RO"/>
              </w:rPr>
              <w:t>Proiectul de act normativ nu se referă la acest subiect.</w:t>
            </w:r>
          </w:p>
        </w:tc>
      </w:tr>
      <w:tr w:rsidR="00846A49" w:rsidRPr="00254ACD" w14:paraId="09FE74A7" w14:textId="77777777" w:rsidTr="002656DB">
        <w:tc>
          <w:tcPr>
            <w:tcW w:w="10031" w:type="dxa"/>
            <w:gridSpan w:val="7"/>
            <w:tcBorders>
              <w:top w:val="single" w:sz="4" w:space="0" w:color="auto"/>
              <w:left w:val="single" w:sz="4" w:space="0" w:color="auto"/>
              <w:bottom w:val="single" w:sz="4" w:space="0" w:color="auto"/>
              <w:right w:val="single" w:sz="4" w:space="0" w:color="auto"/>
            </w:tcBorders>
          </w:tcPr>
          <w:p w14:paraId="7C1B5CA8" w14:textId="77777777" w:rsidR="00846A49" w:rsidRPr="00FE5A58" w:rsidRDefault="00846A49" w:rsidP="00846A49">
            <w:pPr>
              <w:spacing w:line="276" w:lineRule="auto"/>
              <w:jc w:val="center"/>
              <w:rPr>
                <w:b/>
                <w:color w:val="000000"/>
                <w:lang w:val="ro-RO"/>
              </w:rPr>
            </w:pPr>
            <w:proofErr w:type="spellStart"/>
            <w:r w:rsidRPr="00FE5A58">
              <w:rPr>
                <w:b/>
                <w:color w:val="000000"/>
                <w:lang w:val="ro-RO"/>
              </w:rPr>
              <w:t>Secţiunea</w:t>
            </w:r>
            <w:proofErr w:type="spellEnd"/>
            <w:r w:rsidRPr="00FE5A58">
              <w:rPr>
                <w:b/>
                <w:color w:val="000000"/>
                <w:lang w:val="ro-RO"/>
              </w:rPr>
              <w:t xml:space="preserve"> a 7-a</w:t>
            </w:r>
          </w:p>
          <w:p w14:paraId="40BE8FDE" w14:textId="77777777" w:rsidR="00846A49" w:rsidRPr="00FE5A58" w:rsidRDefault="00846A49" w:rsidP="00846A49">
            <w:pPr>
              <w:spacing w:line="276" w:lineRule="auto"/>
              <w:jc w:val="center"/>
              <w:rPr>
                <w:b/>
                <w:color w:val="000000"/>
                <w:lang w:val="ro-RO"/>
              </w:rPr>
            </w:pPr>
            <w:proofErr w:type="spellStart"/>
            <w:r w:rsidRPr="00FE5A58">
              <w:rPr>
                <w:b/>
                <w:color w:val="000000"/>
                <w:lang w:val="ro-RO"/>
              </w:rPr>
              <w:t>Activităţi</w:t>
            </w:r>
            <w:proofErr w:type="spellEnd"/>
            <w:r w:rsidRPr="00FE5A58">
              <w:rPr>
                <w:b/>
                <w:color w:val="000000"/>
                <w:lang w:val="ro-RO"/>
              </w:rPr>
              <w:t xml:space="preserve"> de informare publică privind elaborarea </w:t>
            </w:r>
          </w:p>
          <w:p w14:paraId="69A214A2" w14:textId="77777777" w:rsidR="00846A49" w:rsidRPr="00FE5A58" w:rsidRDefault="00846A49" w:rsidP="00846A49">
            <w:pPr>
              <w:spacing w:line="276" w:lineRule="auto"/>
              <w:jc w:val="center"/>
              <w:rPr>
                <w:b/>
                <w:color w:val="000000"/>
                <w:lang w:val="ro-RO"/>
              </w:rPr>
            </w:pPr>
            <w:proofErr w:type="spellStart"/>
            <w:r w:rsidRPr="00FE5A58">
              <w:rPr>
                <w:b/>
                <w:color w:val="000000"/>
                <w:lang w:val="ro-RO"/>
              </w:rPr>
              <w:t>şi</w:t>
            </w:r>
            <w:proofErr w:type="spellEnd"/>
            <w:r w:rsidRPr="00FE5A58">
              <w:rPr>
                <w:b/>
                <w:color w:val="000000"/>
                <w:lang w:val="ro-RO"/>
              </w:rPr>
              <w:t xml:space="preserve"> implementarea proiectului de act normativ</w:t>
            </w:r>
          </w:p>
        </w:tc>
      </w:tr>
      <w:tr w:rsidR="00846A49" w:rsidRPr="00254ACD" w14:paraId="5A248ADD" w14:textId="77777777" w:rsidTr="002656DB">
        <w:tc>
          <w:tcPr>
            <w:tcW w:w="10031" w:type="dxa"/>
            <w:gridSpan w:val="7"/>
            <w:tcBorders>
              <w:top w:val="single" w:sz="4" w:space="0" w:color="auto"/>
              <w:left w:val="single" w:sz="4" w:space="0" w:color="auto"/>
              <w:bottom w:val="single" w:sz="4" w:space="0" w:color="auto"/>
              <w:right w:val="single" w:sz="4" w:space="0" w:color="auto"/>
            </w:tcBorders>
          </w:tcPr>
          <w:p w14:paraId="01CDF06E" w14:textId="77777777" w:rsidR="00846A49" w:rsidRPr="00FE5A58" w:rsidRDefault="00846A49" w:rsidP="00997610">
            <w:pPr>
              <w:jc w:val="both"/>
              <w:rPr>
                <w:b/>
                <w:color w:val="000000"/>
                <w:lang w:val="ro-RO"/>
              </w:rPr>
            </w:pPr>
            <w:r w:rsidRPr="00FE5A58">
              <w:rPr>
                <w:b/>
                <w:color w:val="000000"/>
                <w:lang w:val="ro-RO"/>
              </w:rPr>
              <w:t xml:space="preserve">7.1. Informarea </w:t>
            </w:r>
            <w:proofErr w:type="spellStart"/>
            <w:r w:rsidRPr="00FE5A58">
              <w:rPr>
                <w:b/>
                <w:color w:val="000000"/>
                <w:lang w:val="ro-RO"/>
              </w:rPr>
              <w:t>societăţii</w:t>
            </w:r>
            <w:proofErr w:type="spellEnd"/>
            <w:r w:rsidRPr="00FE5A58">
              <w:rPr>
                <w:b/>
                <w:color w:val="000000"/>
                <w:lang w:val="ro-RO"/>
              </w:rPr>
              <w:t xml:space="preserve"> civile cu privire la necesitatea elaborării proiectului de act normativ</w:t>
            </w:r>
          </w:p>
          <w:p w14:paraId="548D638F" w14:textId="77777777" w:rsidR="00C023AD" w:rsidRPr="001707B0" w:rsidRDefault="00C023AD" w:rsidP="00C023AD">
            <w:pPr>
              <w:jc w:val="both"/>
              <w:rPr>
                <w:color w:val="000000"/>
                <w:lang w:val="ro-RO"/>
              </w:rPr>
            </w:pPr>
            <w:r w:rsidRPr="001707B0">
              <w:rPr>
                <w:color w:val="000000"/>
                <w:lang w:val="ro-RO"/>
              </w:rPr>
              <w:t>Pentru prezentul proiect de act normativ a fost îndeplinită procedura stabilită prin Legea nr. 52/2003 privind transparența decizională în administrația publică, cu modificările și completările ulterioare.</w:t>
            </w:r>
          </w:p>
          <w:p w14:paraId="4F313640" w14:textId="31786934" w:rsidR="00AF096B" w:rsidRPr="001707B0" w:rsidRDefault="00C023AD" w:rsidP="00C023AD">
            <w:pPr>
              <w:jc w:val="both"/>
              <w:rPr>
                <w:color w:val="000000"/>
                <w:lang w:val="ro-RO"/>
              </w:rPr>
            </w:pPr>
            <w:r w:rsidRPr="001707B0">
              <w:rPr>
                <w:color w:val="000000"/>
                <w:lang w:val="ro-RO"/>
              </w:rPr>
              <w:t>Au fost întreprinse demersurile legale prevăzute de art.7 din Regulamentul privind procedurile, la nivelul Guvernului, pentru elaborarea, avizarea și prezentarea proiectelor de documente de politici publice, a proiectelor de acte normative, precum și a altor documente, în vederea adoptării/aprobării, aprobat prin Hotărârea Guvernului nr. 561/2009.</w:t>
            </w:r>
          </w:p>
          <w:p w14:paraId="11A74C3D" w14:textId="54F5558B" w:rsidR="00C023AD" w:rsidRPr="00FE5A58" w:rsidRDefault="00C023AD" w:rsidP="001707B0">
            <w:pPr>
              <w:jc w:val="both"/>
              <w:rPr>
                <w:color w:val="000000"/>
                <w:lang w:val="ro-RO"/>
              </w:rPr>
            </w:pPr>
            <w:r w:rsidRPr="001707B0">
              <w:rPr>
                <w:color w:val="000000"/>
                <w:lang w:val="ro-RO"/>
              </w:rPr>
              <w:lastRenderedPageBreak/>
              <w:t>Prezentul proiect de act normativ a fost supus comentariilor publicului prin publicarea pe pagina de internet a Ministerului Muncii, Familiei, Tineretului și Solidarității Sociale începând cu data de</w:t>
            </w:r>
            <w:r w:rsidR="009C5BA2" w:rsidRPr="001707B0">
              <w:rPr>
                <w:color w:val="000000"/>
                <w:lang w:val="ro-RO"/>
              </w:rPr>
              <w:t xml:space="preserve"> </w:t>
            </w:r>
            <w:r w:rsidR="001707B0" w:rsidRPr="001707B0">
              <w:rPr>
                <w:color w:val="000000"/>
                <w:lang w:val="ro-RO"/>
              </w:rPr>
              <w:t>………..</w:t>
            </w:r>
            <w:r w:rsidR="009C5BA2" w:rsidRPr="001707B0">
              <w:rPr>
                <w:color w:val="000000"/>
                <w:lang w:val="ro-RO"/>
              </w:rPr>
              <w:t xml:space="preserve">. </w:t>
            </w:r>
          </w:p>
        </w:tc>
      </w:tr>
      <w:tr w:rsidR="00846A49" w:rsidRPr="00254ACD" w14:paraId="04FCF4A5" w14:textId="77777777" w:rsidTr="00277178">
        <w:trPr>
          <w:trHeight w:val="924"/>
        </w:trPr>
        <w:tc>
          <w:tcPr>
            <w:tcW w:w="10031" w:type="dxa"/>
            <w:gridSpan w:val="7"/>
            <w:tcBorders>
              <w:top w:val="single" w:sz="4" w:space="0" w:color="auto"/>
              <w:left w:val="single" w:sz="4" w:space="0" w:color="auto"/>
              <w:bottom w:val="single" w:sz="4" w:space="0" w:color="auto"/>
              <w:right w:val="single" w:sz="4" w:space="0" w:color="auto"/>
            </w:tcBorders>
          </w:tcPr>
          <w:p w14:paraId="46F01DCC" w14:textId="77777777" w:rsidR="00846A49" w:rsidRPr="00FE5A58" w:rsidRDefault="00846A49" w:rsidP="00C023AD">
            <w:pPr>
              <w:jc w:val="both"/>
              <w:rPr>
                <w:b/>
                <w:color w:val="000000"/>
                <w:lang w:val="ro-RO"/>
              </w:rPr>
            </w:pPr>
            <w:r w:rsidRPr="00FE5A58">
              <w:rPr>
                <w:b/>
                <w:color w:val="000000"/>
                <w:lang w:val="ro-RO"/>
              </w:rPr>
              <w:lastRenderedPageBreak/>
              <w:t xml:space="preserve">7.2. Informarea </w:t>
            </w:r>
            <w:proofErr w:type="spellStart"/>
            <w:r w:rsidRPr="00FE5A58">
              <w:rPr>
                <w:b/>
                <w:color w:val="000000"/>
                <w:lang w:val="ro-RO"/>
              </w:rPr>
              <w:t>societăţii</w:t>
            </w:r>
            <w:proofErr w:type="spellEnd"/>
            <w:r w:rsidRPr="00FE5A58">
              <w:rPr>
                <w:b/>
                <w:color w:val="000000"/>
                <w:lang w:val="ro-RO"/>
              </w:rPr>
              <w:t xml:space="preserve"> civile cu privire la eventualul impact asupra mediului în urma implementării proiectului de act normativ, precum </w:t>
            </w:r>
            <w:proofErr w:type="spellStart"/>
            <w:r w:rsidRPr="00FE5A58">
              <w:rPr>
                <w:b/>
                <w:color w:val="000000"/>
                <w:lang w:val="ro-RO"/>
              </w:rPr>
              <w:t>şi</w:t>
            </w:r>
            <w:proofErr w:type="spellEnd"/>
            <w:r w:rsidRPr="00FE5A58">
              <w:rPr>
                <w:b/>
                <w:color w:val="000000"/>
                <w:lang w:val="ro-RO"/>
              </w:rPr>
              <w:t xml:space="preserve"> efectele asupra </w:t>
            </w:r>
            <w:proofErr w:type="spellStart"/>
            <w:r w:rsidRPr="00FE5A58">
              <w:rPr>
                <w:b/>
                <w:color w:val="000000"/>
                <w:lang w:val="ro-RO"/>
              </w:rPr>
              <w:t>sănătăţii</w:t>
            </w:r>
            <w:proofErr w:type="spellEnd"/>
            <w:r w:rsidRPr="00FE5A58">
              <w:rPr>
                <w:b/>
                <w:color w:val="000000"/>
                <w:lang w:val="ro-RO"/>
              </w:rPr>
              <w:t xml:space="preserve"> </w:t>
            </w:r>
            <w:proofErr w:type="spellStart"/>
            <w:r w:rsidRPr="00FE5A58">
              <w:rPr>
                <w:b/>
                <w:color w:val="000000"/>
                <w:lang w:val="ro-RO"/>
              </w:rPr>
              <w:t>şi</w:t>
            </w:r>
            <w:proofErr w:type="spellEnd"/>
            <w:r w:rsidRPr="00FE5A58">
              <w:rPr>
                <w:b/>
                <w:color w:val="000000"/>
                <w:lang w:val="ro-RO"/>
              </w:rPr>
              <w:t xml:space="preserve"> </w:t>
            </w:r>
            <w:proofErr w:type="spellStart"/>
            <w:r w:rsidRPr="00FE5A58">
              <w:rPr>
                <w:b/>
                <w:color w:val="000000"/>
                <w:lang w:val="ro-RO"/>
              </w:rPr>
              <w:t>securităţii</w:t>
            </w:r>
            <w:proofErr w:type="spellEnd"/>
            <w:r w:rsidRPr="00FE5A58">
              <w:rPr>
                <w:b/>
                <w:color w:val="000000"/>
                <w:lang w:val="ro-RO"/>
              </w:rPr>
              <w:t xml:space="preserve"> </w:t>
            </w:r>
            <w:proofErr w:type="spellStart"/>
            <w:r w:rsidRPr="00FE5A58">
              <w:rPr>
                <w:b/>
                <w:color w:val="000000"/>
                <w:lang w:val="ro-RO"/>
              </w:rPr>
              <w:t>cetăţenilor</w:t>
            </w:r>
            <w:proofErr w:type="spellEnd"/>
            <w:r w:rsidRPr="00FE5A58">
              <w:rPr>
                <w:b/>
                <w:color w:val="000000"/>
                <w:lang w:val="ro-RO"/>
              </w:rPr>
              <w:t xml:space="preserve"> sau </w:t>
            </w:r>
            <w:proofErr w:type="spellStart"/>
            <w:r w:rsidRPr="00FE5A58">
              <w:rPr>
                <w:b/>
                <w:color w:val="000000"/>
                <w:lang w:val="ro-RO"/>
              </w:rPr>
              <w:t>diversităţii</w:t>
            </w:r>
            <w:proofErr w:type="spellEnd"/>
            <w:r w:rsidRPr="00FE5A58">
              <w:rPr>
                <w:b/>
                <w:color w:val="000000"/>
                <w:lang w:val="ro-RO"/>
              </w:rPr>
              <w:t xml:space="preserve"> biologice  </w:t>
            </w:r>
          </w:p>
          <w:p w14:paraId="04B3E8F7" w14:textId="77777777" w:rsidR="00C023AD" w:rsidRPr="00FE5A58" w:rsidRDefault="00C023AD" w:rsidP="00C023AD">
            <w:pPr>
              <w:jc w:val="both"/>
              <w:rPr>
                <w:color w:val="000000"/>
                <w:lang w:val="ro-RO"/>
              </w:rPr>
            </w:pPr>
            <w:r w:rsidRPr="00FE5A58">
              <w:rPr>
                <w:color w:val="000000"/>
                <w:lang w:val="ro-RO"/>
              </w:rPr>
              <w:t>Proiectul de act normativ nu se referă la acest subiect</w:t>
            </w:r>
          </w:p>
        </w:tc>
      </w:tr>
      <w:tr w:rsidR="00846A49" w:rsidRPr="00254ACD" w14:paraId="1A26730C" w14:textId="77777777" w:rsidTr="002656DB">
        <w:tc>
          <w:tcPr>
            <w:tcW w:w="10031" w:type="dxa"/>
            <w:gridSpan w:val="7"/>
            <w:tcBorders>
              <w:top w:val="single" w:sz="4" w:space="0" w:color="auto"/>
              <w:left w:val="single" w:sz="4" w:space="0" w:color="auto"/>
              <w:bottom w:val="single" w:sz="4" w:space="0" w:color="auto"/>
              <w:right w:val="single" w:sz="4" w:space="0" w:color="auto"/>
            </w:tcBorders>
          </w:tcPr>
          <w:p w14:paraId="77421828" w14:textId="77777777" w:rsidR="00846A49" w:rsidRPr="00FE5A58" w:rsidRDefault="00846A49" w:rsidP="00997610">
            <w:pPr>
              <w:jc w:val="center"/>
              <w:rPr>
                <w:color w:val="000000"/>
                <w:lang w:val="ro-RO"/>
              </w:rPr>
            </w:pPr>
            <w:proofErr w:type="spellStart"/>
            <w:r w:rsidRPr="00FE5A58">
              <w:rPr>
                <w:b/>
                <w:color w:val="000000"/>
                <w:lang w:val="ro-RO"/>
              </w:rPr>
              <w:t>Secţiunea</w:t>
            </w:r>
            <w:proofErr w:type="spellEnd"/>
            <w:r w:rsidRPr="00FE5A58">
              <w:rPr>
                <w:b/>
                <w:color w:val="000000"/>
                <w:lang w:val="ro-RO"/>
              </w:rPr>
              <w:t xml:space="preserve"> a 8-a</w:t>
            </w:r>
          </w:p>
          <w:p w14:paraId="3DA5BBE7" w14:textId="77777777" w:rsidR="00846A49" w:rsidRPr="00FE5A58" w:rsidRDefault="00846A49" w:rsidP="00997610">
            <w:pPr>
              <w:jc w:val="center"/>
              <w:rPr>
                <w:b/>
                <w:bCs/>
                <w:color w:val="000000"/>
                <w:lang w:val="ro-RO"/>
              </w:rPr>
            </w:pPr>
            <w:r w:rsidRPr="00FE5A58">
              <w:rPr>
                <w:b/>
                <w:bCs/>
                <w:color w:val="000000"/>
                <w:lang w:val="ro-RO"/>
              </w:rPr>
              <w:t xml:space="preserve">Măsuri privind implementarea, monitorizarea </w:t>
            </w:r>
            <w:proofErr w:type="spellStart"/>
            <w:r w:rsidRPr="00FE5A58">
              <w:rPr>
                <w:b/>
                <w:bCs/>
                <w:color w:val="000000"/>
                <w:lang w:val="ro-RO"/>
              </w:rPr>
              <w:t>şi</w:t>
            </w:r>
            <w:proofErr w:type="spellEnd"/>
            <w:r w:rsidRPr="00FE5A58">
              <w:rPr>
                <w:b/>
                <w:bCs/>
                <w:color w:val="000000"/>
                <w:lang w:val="ro-RO"/>
              </w:rPr>
              <w:t xml:space="preserve"> evaluarea proiectului de act normativ</w:t>
            </w:r>
          </w:p>
        </w:tc>
      </w:tr>
      <w:tr w:rsidR="00846A49" w:rsidRPr="00254ACD" w14:paraId="3FFE2EA5" w14:textId="77777777" w:rsidTr="002656DB">
        <w:tc>
          <w:tcPr>
            <w:tcW w:w="10031" w:type="dxa"/>
            <w:gridSpan w:val="7"/>
            <w:tcBorders>
              <w:top w:val="single" w:sz="4" w:space="0" w:color="auto"/>
              <w:left w:val="single" w:sz="4" w:space="0" w:color="auto"/>
              <w:bottom w:val="single" w:sz="4" w:space="0" w:color="auto"/>
              <w:right w:val="single" w:sz="4" w:space="0" w:color="auto"/>
            </w:tcBorders>
          </w:tcPr>
          <w:p w14:paraId="50185CF0" w14:textId="77777777" w:rsidR="00BA77E9" w:rsidRPr="00FE5A58" w:rsidRDefault="00846A49" w:rsidP="00997610">
            <w:pPr>
              <w:pStyle w:val="ListParagraph"/>
              <w:numPr>
                <w:ilvl w:val="1"/>
                <w:numId w:val="15"/>
              </w:numPr>
              <w:jc w:val="both"/>
              <w:rPr>
                <w:color w:val="000000"/>
                <w:lang w:val="ro-RO"/>
              </w:rPr>
            </w:pPr>
            <w:r w:rsidRPr="00FE5A58">
              <w:rPr>
                <w:b/>
                <w:color w:val="000000"/>
                <w:lang w:val="ro-RO" w:eastAsia="en-US"/>
              </w:rPr>
              <w:t xml:space="preserve">Măsurile de punere în aplicare a proiectului de act normativ   </w:t>
            </w:r>
          </w:p>
          <w:p w14:paraId="51B24B43" w14:textId="77777777" w:rsidR="00846A49" w:rsidRPr="00FE5A58" w:rsidRDefault="00BA77E9" w:rsidP="00BA77E9">
            <w:pPr>
              <w:pStyle w:val="ListParagraph"/>
              <w:ind w:left="0"/>
              <w:jc w:val="both"/>
              <w:rPr>
                <w:color w:val="000000"/>
                <w:lang w:val="ro-RO"/>
              </w:rPr>
            </w:pPr>
            <w:r w:rsidRPr="00FE5A58">
              <w:rPr>
                <w:color w:val="000000"/>
                <w:lang w:val="ro-RO"/>
              </w:rPr>
              <w:t>Proiectul de act normativ nu se referă la acest subiect</w:t>
            </w:r>
          </w:p>
        </w:tc>
      </w:tr>
      <w:tr w:rsidR="00846A49" w:rsidRPr="00254ACD" w14:paraId="4125CA86" w14:textId="77777777" w:rsidTr="002656DB">
        <w:tc>
          <w:tcPr>
            <w:tcW w:w="10031" w:type="dxa"/>
            <w:gridSpan w:val="7"/>
            <w:tcBorders>
              <w:top w:val="single" w:sz="4" w:space="0" w:color="auto"/>
              <w:left w:val="single" w:sz="4" w:space="0" w:color="auto"/>
              <w:bottom w:val="single" w:sz="4" w:space="0" w:color="auto"/>
              <w:right w:val="single" w:sz="4" w:space="0" w:color="auto"/>
            </w:tcBorders>
          </w:tcPr>
          <w:p w14:paraId="15503999" w14:textId="77777777" w:rsidR="00846A49" w:rsidRPr="00FE5A58" w:rsidRDefault="00846A49" w:rsidP="00BA77E9">
            <w:pPr>
              <w:numPr>
                <w:ilvl w:val="1"/>
                <w:numId w:val="15"/>
              </w:numPr>
              <w:spacing w:line="276" w:lineRule="auto"/>
              <w:jc w:val="both"/>
              <w:rPr>
                <w:color w:val="000000"/>
                <w:lang w:val="ro-RO"/>
              </w:rPr>
            </w:pPr>
            <w:r w:rsidRPr="00FE5A58">
              <w:rPr>
                <w:b/>
                <w:color w:val="000000"/>
                <w:lang w:val="ro-RO"/>
              </w:rPr>
              <w:t xml:space="preserve">Alte </w:t>
            </w:r>
            <w:proofErr w:type="spellStart"/>
            <w:r w:rsidRPr="00FE5A58">
              <w:rPr>
                <w:b/>
                <w:color w:val="000000"/>
                <w:lang w:val="ro-RO"/>
              </w:rPr>
              <w:t>informaţii</w:t>
            </w:r>
            <w:proofErr w:type="spellEnd"/>
            <w:r w:rsidRPr="00FE5A58">
              <w:rPr>
                <w:b/>
                <w:color w:val="000000"/>
                <w:lang w:val="ro-RO"/>
              </w:rPr>
              <w:t xml:space="preserve">  </w:t>
            </w:r>
          </w:p>
          <w:p w14:paraId="41BE6B43" w14:textId="77777777" w:rsidR="00BA77E9" w:rsidRPr="00FE5A58" w:rsidRDefault="00BA77E9" w:rsidP="00BA77E9">
            <w:pPr>
              <w:spacing w:line="276" w:lineRule="auto"/>
              <w:jc w:val="both"/>
              <w:rPr>
                <w:color w:val="000000"/>
                <w:lang w:val="ro-RO"/>
              </w:rPr>
            </w:pPr>
            <w:r w:rsidRPr="00FE5A58">
              <w:rPr>
                <w:color w:val="000000"/>
                <w:lang w:val="ro-RO"/>
              </w:rPr>
              <w:t>Proiectul de act normativ nu se referă la acest subiect</w:t>
            </w:r>
          </w:p>
        </w:tc>
      </w:tr>
    </w:tbl>
    <w:p w14:paraId="61D740B5" w14:textId="77777777" w:rsidR="00222C7A" w:rsidRPr="00FE5A58" w:rsidRDefault="00222C7A" w:rsidP="00BA77E9">
      <w:pPr>
        <w:autoSpaceDE w:val="0"/>
        <w:autoSpaceDN w:val="0"/>
        <w:spacing w:line="276" w:lineRule="auto"/>
        <w:jc w:val="both"/>
        <w:rPr>
          <w:color w:val="000000"/>
          <w:lang w:val="ro-RO"/>
        </w:rPr>
      </w:pPr>
    </w:p>
    <w:p w14:paraId="6A0125FD" w14:textId="77777777" w:rsidR="00E96D58" w:rsidRDefault="00E96D58" w:rsidP="00BA77E9">
      <w:pPr>
        <w:autoSpaceDE w:val="0"/>
        <w:autoSpaceDN w:val="0"/>
        <w:spacing w:line="276" w:lineRule="auto"/>
        <w:jc w:val="both"/>
        <w:rPr>
          <w:color w:val="000000"/>
          <w:lang w:val="ro-RO"/>
        </w:rPr>
      </w:pPr>
    </w:p>
    <w:p w14:paraId="5EC5D01E" w14:textId="77777777" w:rsidR="00657BF1" w:rsidRDefault="00657BF1" w:rsidP="00BA77E9">
      <w:pPr>
        <w:autoSpaceDE w:val="0"/>
        <w:autoSpaceDN w:val="0"/>
        <w:spacing w:line="276" w:lineRule="auto"/>
        <w:jc w:val="both"/>
        <w:rPr>
          <w:color w:val="000000"/>
          <w:lang w:val="ro-RO"/>
        </w:rPr>
      </w:pPr>
    </w:p>
    <w:p w14:paraId="2A492B19" w14:textId="77777777" w:rsidR="00657BF1" w:rsidRDefault="00657BF1" w:rsidP="00BA77E9">
      <w:pPr>
        <w:autoSpaceDE w:val="0"/>
        <w:autoSpaceDN w:val="0"/>
        <w:spacing w:line="276" w:lineRule="auto"/>
        <w:jc w:val="both"/>
        <w:rPr>
          <w:color w:val="000000"/>
          <w:lang w:val="ro-RO"/>
        </w:rPr>
      </w:pPr>
    </w:p>
    <w:p w14:paraId="3069F367" w14:textId="77777777" w:rsidR="00657BF1" w:rsidRDefault="00657BF1" w:rsidP="00BA77E9">
      <w:pPr>
        <w:autoSpaceDE w:val="0"/>
        <w:autoSpaceDN w:val="0"/>
        <w:spacing w:line="276" w:lineRule="auto"/>
        <w:jc w:val="both"/>
        <w:rPr>
          <w:color w:val="000000"/>
          <w:lang w:val="ro-RO"/>
        </w:rPr>
      </w:pPr>
    </w:p>
    <w:p w14:paraId="300662EF" w14:textId="77777777" w:rsidR="00657BF1" w:rsidRDefault="00657BF1" w:rsidP="00BA77E9">
      <w:pPr>
        <w:autoSpaceDE w:val="0"/>
        <w:autoSpaceDN w:val="0"/>
        <w:spacing w:line="276" w:lineRule="auto"/>
        <w:jc w:val="both"/>
        <w:rPr>
          <w:color w:val="000000"/>
          <w:lang w:val="ro-RO"/>
        </w:rPr>
      </w:pPr>
    </w:p>
    <w:p w14:paraId="3CE61105" w14:textId="77777777" w:rsidR="00657BF1" w:rsidRDefault="00657BF1" w:rsidP="00BA77E9">
      <w:pPr>
        <w:autoSpaceDE w:val="0"/>
        <w:autoSpaceDN w:val="0"/>
        <w:spacing w:line="276" w:lineRule="auto"/>
        <w:jc w:val="both"/>
        <w:rPr>
          <w:color w:val="000000"/>
          <w:lang w:val="ro-RO"/>
        </w:rPr>
      </w:pPr>
    </w:p>
    <w:p w14:paraId="4BACD4FB" w14:textId="77777777" w:rsidR="00657BF1" w:rsidRDefault="00657BF1" w:rsidP="00BA77E9">
      <w:pPr>
        <w:autoSpaceDE w:val="0"/>
        <w:autoSpaceDN w:val="0"/>
        <w:spacing w:line="276" w:lineRule="auto"/>
        <w:jc w:val="both"/>
        <w:rPr>
          <w:color w:val="000000"/>
          <w:lang w:val="ro-RO"/>
        </w:rPr>
      </w:pPr>
    </w:p>
    <w:p w14:paraId="2A461B37" w14:textId="77777777" w:rsidR="00657BF1" w:rsidRDefault="00657BF1" w:rsidP="00BA77E9">
      <w:pPr>
        <w:autoSpaceDE w:val="0"/>
        <w:autoSpaceDN w:val="0"/>
        <w:spacing w:line="276" w:lineRule="auto"/>
        <w:jc w:val="both"/>
        <w:rPr>
          <w:color w:val="000000"/>
          <w:lang w:val="ro-RO"/>
        </w:rPr>
      </w:pPr>
    </w:p>
    <w:p w14:paraId="275184F8" w14:textId="77777777" w:rsidR="00657BF1" w:rsidRDefault="00657BF1" w:rsidP="00BA77E9">
      <w:pPr>
        <w:autoSpaceDE w:val="0"/>
        <w:autoSpaceDN w:val="0"/>
        <w:spacing w:line="276" w:lineRule="auto"/>
        <w:jc w:val="both"/>
        <w:rPr>
          <w:color w:val="000000"/>
          <w:lang w:val="ro-RO"/>
        </w:rPr>
      </w:pPr>
    </w:p>
    <w:p w14:paraId="6EA4C723" w14:textId="77777777" w:rsidR="00657BF1" w:rsidRDefault="00657BF1" w:rsidP="00BA77E9">
      <w:pPr>
        <w:autoSpaceDE w:val="0"/>
        <w:autoSpaceDN w:val="0"/>
        <w:spacing w:line="276" w:lineRule="auto"/>
        <w:jc w:val="both"/>
        <w:rPr>
          <w:color w:val="000000"/>
          <w:lang w:val="ro-RO"/>
        </w:rPr>
      </w:pPr>
    </w:p>
    <w:p w14:paraId="353FEB47" w14:textId="77777777" w:rsidR="001707B0" w:rsidRDefault="001707B0" w:rsidP="00BA77E9">
      <w:pPr>
        <w:autoSpaceDE w:val="0"/>
        <w:autoSpaceDN w:val="0"/>
        <w:spacing w:line="276" w:lineRule="auto"/>
        <w:jc w:val="both"/>
        <w:rPr>
          <w:color w:val="000000"/>
          <w:lang w:val="ro-RO"/>
        </w:rPr>
      </w:pPr>
    </w:p>
    <w:p w14:paraId="42A81302" w14:textId="77777777" w:rsidR="001707B0" w:rsidRDefault="001707B0" w:rsidP="00BA77E9">
      <w:pPr>
        <w:autoSpaceDE w:val="0"/>
        <w:autoSpaceDN w:val="0"/>
        <w:spacing w:line="276" w:lineRule="auto"/>
        <w:jc w:val="both"/>
        <w:rPr>
          <w:color w:val="000000"/>
          <w:lang w:val="ro-RO"/>
        </w:rPr>
      </w:pPr>
    </w:p>
    <w:p w14:paraId="7BADC3CB" w14:textId="77777777" w:rsidR="001707B0" w:rsidRDefault="001707B0" w:rsidP="00BA77E9">
      <w:pPr>
        <w:autoSpaceDE w:val="0"/>
        <w:autoSpaceDN w:val="0"/>
        <w:spacing w:line="276" w:lineRule="auto"/>
        <w:jc w:val="both"/>
        <w:rPr>
          <w:color w:val="000000"/>
          <w:lang w:val="ro-RO"/>
        </w:rPr>
      </w:pPr>
    </w:p>
    <w:p w14:paraId="4B8389F1" w14:textId="77777777" w:rsidR="001707B0" w:rsidRDefault="001707B0" w:rsidP="00BA77E9">
      <w:pPr>
        <w:autoSpaceDE w:val="0"/>
        <w:autoSpaceDN w:val="0"/>
        <w:spacing w:line="276" w:lineRule="auto"/>
        <w:jc w:val="both"/>
        <w:rPr>
          <w:color w:val="000000"/>
          <w:lang w:val="ro-RO"/>
        </w:rPr>
      </w:pPr>
    </w:p>
    <w:p w14:paraId="5C548D02" w14:textId="77777777" w:rsidR="001707B0" w:rsidRDefault="001707B0" w:rsidP="00BA77E9">
      <w:pPr>
        <w:autoSpaceDE w:val="0"/>
        <w:autoSpaceDN w:val="0"/>
        <w:spacing w:line="276" w:lineRule="auto"/>
        <w:jc w:val="both"/>
        <w:rPr>
          <w:color w:val="000000"/>
          <w:lang w:val="ro-RO"/>
        </w:rPr>
      </w:pPr>
    </w:p>
    <w:p w14:paraId="0483FBC0" w14:textId="77777777" w:rsidR="001707B0" w:rsidRDefault="001707B0" w:rsidP="00BA77E9">
      <w:pPr>
        <w:autoSpaceDE w:val="0"/>
        <w:autoSpaceDN w:val="0"/>
        <w:spacing w:line="276" w:lineRule="auto"/>
        <w:jc w:val="both"/>
        <w:rPr>
          <w:color w:val="000000"/>
          <w:lang w:val="ro-RO"/>
        </w:rPr>
      </w:pPr>
    </w:p>
    <w:p w14:paraId="62C66256" w14:textId="77777777" w:rsidR="001707B0" w:rsidRDefault="001707B0" w:rsidP="00BA77E9">
      <w:pPr>
        <w:autoSpaceDE w:val="0"/>
        <w:autoSpaceDN w:val="0"/>
        <w:spacing w:line="276" w:lineRule="auto"/>
        <w:jc w:val="both"/>
        <w:rPr>
          <w:color w:val="000000"/>
          <w:lang w:val="ro-RO"/>
        </w:rPr>
      </w:pPr>
    </w:p>
    <w:p w14:paraId="679D31E9" w14:textId="77777777" w:rsidR="001707B0" w:rsidRDefault="001707B0" w:rsidP="00BA77E9">
      <w:pPr>
        <w:autoSpaceDE w:val="0"/>
        <w:autoSpaceDN w:val="0"/>
        <w:spacing w:line="276" w:lineRule="auto"/>
        <w:jc w:val="both"/>
        <w:rPr>
          <w:color w:val="000000"/>
          <w:lang w:val="ro-RO"/>
        </w:rPr>
      </w:pPr>
    </w:p>
    <w:p w14:paraId="0D01277E" w14:textId="77777777" w:rsidR="001707B0" w:rsidRDefault="001707B0" w:rsidP="00BA77E9">
      <w:pPr>
        <w:autoSpaceDE w:val="0"/>
        <w:autoSpaceDN w:val="0"/>
        <w:spacing w:line="276" w:lineRule="auto"/>
        <w:jc w:val="both"/>
        <w:rPr>
          <w:color w:val="000000"/>
          <w:lang w:val="ro-RO"/>
        </w:rPr>
      </w:pPr>
    </w:p>
    <w:p w14:paraId="4FD0185E" w14:textId="77777777" w:rsidR="001707B0" w:rsidRDefault="001707B0" w:rsidP="00BA77E9">
      <w:pPr>
        <w:autoSpaceDE w:val="0"/>
        <w:autoSpaceDN w:val="0"/>
        <w:spacing w:line="276" w:lineRule="auto"/>
        <w:jc w:val="both"/>
        <w:rPr>
          <w:color w:val="000000"/>
          <w:lang w:val="ro-RO"/>
        </w:rPr>
      </w:pPr>
    </w:p>
    <w:p w14:paraId="28EF2531" w14:textId="77777777" w:rsidR="001707B0" w:rsidRDefault="001707B0" w:rsidP="00BA77E9">
      <w:pPr>
        <w:autoSpaceDE w:val="0"/>
        <w:autoSpaceDN w:val="0"/>
        <w:spacing w:line="276" w:lineRule="auto"/>
        <w:jc w:val="both"/>
        <w:rPr>
          <w:color w:val="000000"/>
          <w:lang w:val="ro-RO"/>
        </w:rPr>
      </w:pPr>
    </w:p>
    <w:p w14:paraId="3C71CF49" w14:textId="77777777" w:rsidR="001707B0" w:rsidRDefault="001707B0" w:rsidP="00BA77E9">
      <w:pPr>
        <w:autoSpaceDE w:val="0"/>
        <w:autoSpaceDN w:val="0"/>
        <w:spacing w:line="276" w:lineRule="auto"/>
        <w:jc w:val="both"/>
        <w:rPr>
          <w:color w:val="000000"/>
          <w:lang w:val="ro-RO"/>
        </w:rPr>
      </w:pPr>
    </w:p>
    <w:p w14:paraId="68B56F66" w14:textId="77777777" w:rsidR="001707B0" w:rsidRDefault="001707B0" w:rsidP="00BA77E9">
      <w:pPr>
        <w:autoSpaceDE w:val="0"/>
        <w:autoSpaceDN w:val="0"/>
        <w:spacing w:line="276" w:lineRule="auto"/>
        <w:jc w:val="both"/>
        <w:rPr>
          <w:color w:val="000000"/>
          <w:lang w:val="ro-RO"/>
        </w:rPr>
      </w:pPr>
    </w:p>
    <w:p w14:paraId="207AEE95" w14:textId="77777777" w:rsidR="001707B0" w:rsidRDefault="001707B0" w:rsidP="00BA77E9">
      <w:pPr>
        <w:autoSpaceDE w:val="0"/>
        <w:autoSpaceDN w:val="0"/>
        <w:spacing w:line="276" w:lineRule="auto"/>
        <w:jc w:val="both"/>
        <w:rPr>
          <w:color w:val="000000"/>
          <w:lang w:val="ro-RO"/>
        </w:rPr>
      </w:pPr>
    </w:p>
    <w:p w14:paraId="0255849E" w14:textId="77777777" w:rsidR="001707B0" w:rsidRDefault="001707B0" w:rsidP="00BA77E9">
      <w:pPr>
        <w:autoSpaceDE w:val="0"/>
        <w:autoSpaceDN w:val="0"/>
        <w:spacing w:line="276" w:lineRule="auto"/>
        <w:jc w:val="both"/>
        <w:rPr>
          <w:color w:val="000000"/>
          <w:lang w:val="ro-RO"/>
        </w:rPr>
      </w:pPr>
    </w:p>
    <w:p w14:paraId="5029F377" w14:textId="77777777" w:rsidR="001707B0" w:rsidRDefault="001707B0" w:rsidP="00BA77E9">
      <w:pPr>
        <w:autoSpaceDE w:val="0"/>
        <w:autoSpaceDN w:val="0"/>
        <w:spacing w:line="276" w:lineRule="auto"/>
        <w:jc w:val="both"/>
        <w:rPr>
          <w:color w:val="000000"/>
          <w:lang w:val="ro-RO"/>
        </w:rPr>
      </w:pPr>
    </w:p>
    <w:p w14:paraId="38F348CF" w14:textId="77777777" w:rsidR="001707B0" w:rsidRDefault="001707B0" w:rsidP="00BA77E9">
      <w:pPr>
        <w:autoSpaceDE w:val="0"/>
        <w:autoSpaceDN w:val="0"/>
        <w:spacing w:line="276" w:lineRule="auto"/>
        <w:jc w:val="both"/>
        <w:rPr>
          <w:color w:val="000000"/>
          <w:lang w:val="ro-RO"/>
        </w:rPr>
      </w:pPr>
    </w:p>
    <w:p w14:paraId="0535FF7C" w14:textId="77777777" w:rsidR="001707B0" w:rsidRDefault="001707B0" w:rsidP="00BA77E9">
      <w:pPr>
        <w:autoSpaceDE w:val="0"/>
        <w:autoSpaceDN w:val="0"/>
        <w:spacing w:line="276" w:lineRule="auto"/>
        <w:jc w:val="both"/>
        <w:rPr>
          <w:color w:val="000000"/>
          <w:lang w:val="ro-RO"/>
        </w:rPr>
      </w:pPr>
    </w:p>
    <w:p w14:paraId="22E2EA0E" w14:textId="77777777" w:rsidR="00657BF1" w:rsidRDefault="00657BF1" w:rsidP="00BA77E9">
      <w:pPr>
        <w:autoSpaceDE w:val="0"/>
        <w:autoSpaceDN w:val="0"/>
        <w:spacing w:line="276" w:lineRule="auto"/>
        <w:jc w:val="both"/>
        <w:rPr>
          <w:color w:val="000000"/>
          <w:lang w:val="ro-RO"/>
        </w:rPr>
      </w:pPr>
    </w:p>
    <w:p w14:paraId="2C28ECDD" w14:textId="77777777" w:rsidR="004425D0" w:rsidRDefault="004425D0" w:rsidP="00BA77E9">
      <w:pPr>
        <w:autoSpaceDE w:val="0"/>
        <w:autoSpaceDN w:val="0"/>
        <w:spacing w:line="276" w:lineRule="auto"/>
        <w:jc w:val="both"/>
        <w:rPr>
          <w:color w:val="000000"/>
          <w:lang w:val="ro-RO"/>
        </w:rPr>
      </w:pPr>
    </w:p>
    <w:p w14:paraId="43FAA0E9" w14:textId="77777777" w:rsidR="004425D0" w:rsidRDefault="004425D0" w:rsidP="00BA77E9">
      <w:pPr>
        <w:autoSpaceDE w:val="0"/>
        <w:autoSpaceDN w:val="0"/>
        <w:spacing w:line="276" w:lineRule="auto"/>
        <w:jc w:val="both"/>
        <w:rPr>
          <w:color w:val="000000"/>
          <w:lang w:val="ro-RO"/>
        </w:rPr>
      </w:pPr>
    </w:p>
    <w:p w14:paraId="588DB0D5" w14:textId="77777777" w:rsidR="004425D0" w:rsidRDefault="004425D0" w:rsidP="00BA77E9">
      <w:pPr>
        <w:autoSpaceDE w:val="0"/>
        <w:autoSpaceDN w:val="0"/>
        <w:spacing w:line="276" w:lineRule="auto"/>
        <w:jc w:val="both"/>
        <w:rPr>
          <w:color w:val="000000"/>
          <w:lang w:val="ro-RO"/>
        </w:rPr>
      </w:pPr>
    </w:p>
    <w:p w14:paraId="24DB4349" w14:textId="77777777" w:rsidR="00657BF1" w:rsidRPr="00FE5A58" w:rsidRDefault="00657BF1" w:rsidP="00BA77E9">
      <w:pPr>
        <w:autoSpaceDE w:val="0"/>
        <w:autoSpaceDN w:val="0"/>
        <w:spacing w:line="276" w:lineRule="auto"/>
        <w:jc w:val="both"/>
        <w:rPr>
          <w:color w:val="000000"/>
          <w:lang w:val="ro-RO"/>
        </w:rPr>
      </w:pPr>
    </w:p>
    <w:p w14:paraId="19DA4B47" w14:textId="1FA64B83" w:rsidR="00BA77E9" w:rsidRPr="00657BF1" w:rsidRDefault="00BA77E9" w:rsidP="00D65735">
      <w:pPr>
        <w:autoSpaceDE w:val="0"/>
        <w:autoSpaceDN w:val="0"/>
        <w:spacing w:line="276" w:lineRule="auto"/>
        <w:ind w:left="-270"/>
        <w:jc w:val="both"/>
        <w:rPr>
          <w:color w:val="000000"/>
          <w:lang w:val="ro-RO"/>
        </w:rPr>
      </w:pPr>
      <w:r w:rsidRPr="00657BF1">
        <w:rPr>
          <w:color w:val="000000"/>
          <w:lang w:val="ro-RO"/>
        </w:rPr>
        <w:t>Față de cele menționate anterior, a fost elaborat prezentul proiect de Lege</w:t>
      </w:r>
      <w:r w:rsidRPr="00657BF1">
        <w:rPr>
          <w:bCs/>
          <w:color w:val="000000"/>
          <w:lang w:val="ro-RO"/>
        </w:rPr>
        <w:t xml:space="preserve"> </w:t>
      </w:r>
      <w:r w:rsidR="00F90292" w:rsidRPr="00657BF1">
        <w:rPr>
          <w:bCs/>
          <w:iCs/>
          <w:color w:val="000000"/>
          <w:lang w:val="ro-RO"/>
        </w:rPr>
        <w:t xml:space="preserve">privind </w:t>
      </w:r>
      <w:r w:rsidR="00F83A32" w:rsidRPr="00657BF1">
        <w:rPr>
          <w:bCs/>
          <w:iCs/>
          <w:color w:val="000000"/>
          <w:lang w:val="ro-RO"/>
        </w:rPr>
        <w:t>salarizarea personalului plătit din fonduri publice</w:t>
      </w:r>
      <w:r w:rsidRPr="00657BF1">
        <w:rPr>
          <w:bCs/>
          <w:color w:val="000000"/>
          <w:lang w:val="ro-RO"/>
        </w:rPr>
        <w:t>,</w:t>
      </w:r>
      <w:r w:rsidRPr="00657BF1">
        <w:rPr>
          <w:b/>
          <w:bCs/>
          <w:color w:val="000000"/>
          <w:lang w:val="ro-RO"/>
        </w:rPr>
        <w:t xml:space="preserve"> </w:t>
      </w:r>
      <w:r w:rsidRPr="00657BF1">
        <w:rPr>
          <w:color w:val="000000"/>
          <w:lang w:val="ro-RO"/>
        </w:rPr>
        <w:t>pe care îl supunem spre aprobare Guvernului.</w:t>
      </w:r>
    </w:p>
    <w:p w14:paraId="46CD0C7B" w14:textId="77777777" w:rsidR="007025FF" w:rsidRPr="00657BF1" w:rsidRDefault="007025FF" w:rsidP="00152A2A">
      <w:pPr>
        <w:spacing w:line="276" w:lineRule="auto"/>
        <w:rPr>
          <w:rFonts w:eastAsia="Calibri"/>
          <w:b/>
          <w:bCs/>
          <w:color w:val="000000"/>
          <w:lang w:val="ro-RO"/>
        </w:rPr>
      </w:pPr>
    </w:p>
    <w:p w14:paraId="58029B6A" w14:textId="4770A093" w:rsidR="00BA77E9" w:rsidRPr="00657BF1" w:rsidRDefault="00222C7A" w:rsidP="00BA77E9">
      <w:pPr>
        <w:spacing w:line="276" w:lineRule="auto"/>
        <w:jc w:val="center"/>
        <w:rPr>
          <w:rFonts w:eastAsia="Calibri"/>
          <w:b/>
          <w:bCs/>
          <w:color w:val="000000"/>
          <w:lang w:val="ro-RO"/>
        </w:rPr>
      </w:pPr>
      <w:r w:rsidRPr="00657BF1">
        <w:rPr>
          <w:rFonts w:eastAsia="Calibri"/>
          <w:b/>
          <w:bCs/>
          <w:color w:val="000000"/>
          <w:lang w:val="ro-RO"/>
        </w:rPr>
        <w:lastRenderedPageBreak/>
        <w:t xml:space="preserve">Ministrul Muncii, Familiei, Tineretului </w:t>
      </w:r>
      <w:r w:rsidR="00E32C44" w:rsidRPr="00657BF1">
        <w:rPr>
          <w:rFonts w:eastAsia="Calibri"/>
          <w:b/>
          <w:bCs/>
          <w:color w:val="000000"/>
          <w:lang w:val="ro-RO"/>
        </w:rPr>
        <w:t>ș</w:t>
      </w:r>
      <w:r w:rsidRPr="00657BF1">
        <w:rPr>
          <w:rFonts w:eastAsia="Calibri"/>
          <w:b/>
          <w:bCs/>
          <w:color w:val="000000"/>
          <w:lang w:val="ro-RO"/>
        </w:rPr>
        <w:t xml:space="preserve">i Solidarității Sociale </w:t>
      </w:r>
    </w:p>
    <w:p w14:paraId="7DB8A559" w14:textId="36B50F0C" w:rsidR="00BA77E9" w:rsidRPr="00657BF1" w:rsidRDefault="00BA77E9" w:rsidP="00152A2A">
      <w:pPr>
        <w:spacing w:line="276" w:lineRule="auto"/>
        <w:jc w:val="center"/>
        <w:rPr>
          <w:rFonts w:eastAsia="Calibri"/>
          <w:b/>
          <w:bCs/>
          <w:iCs/>
          <w:color w:val="FF0000"/>
          <w:lang w:val="ro-RO"/>
        </w:rPr>
      </w:pPr>
      <w:r w:rsidRPr="00657BF1">
        <w:rPr>
          <w:rFonts w:eastAsia="Calibri"/>
          <w:b/>
          <w:color w:val="000000"/>
          <w:lang w:val="ro-RO"/>
        </w:rPr>
        <w:t>Petre-Florin MANOLE</w:t>
      </w:r>
      <w:r w:rsidR="00D6040A" w:rsidRPr="00657BF1">
        <w:rPr>
          <w:rFonts w:eastAsia="Calibri"/>
          <w:b/>
          <w:bCs/>
          <w:iCs/>
          <w:color w:val="FF0000"/>
          <w:lang w:val="ro-RO"/>
        </w:rPr>
        <w:t xml:space="preserve">   </w:t>
      </w:r>
    </w:p>
    <w:p w14:paraId="35384392" w14:textId="77777777" w:rsidR="00657BF1" w:rsidRPr="00657BF1" w:rsidRDefault="00657BF1" w:rsidP="00152A2A">
      <w:pPr>
        <w:spacing w:line="276" w:lineRule="auto"/>
        <w:jc w:val="center"/>
        <w:rPr>
          <w:rFonts w:eastAsia="Calibri"/>
          <w:b/>
          <w:bCs/>
          <w:iCs/>
          <w:color w:val="FF0000"/>
          <w:lang w:val="ro-RO"/>
        </w:rPr>
      </w:pPr>
    </w:p>
    <w:p w14:paraId="5C5E5ADE" w14:textId="77777777" w:rsidR="00657BF1" w:rsidRPr="00657BF1" w:rsidRDefault="00657BF1" w:rsidP="00657BF1">
      <w:pPr>
        <w:spacing w:line="276" w:lineRule="auto"/>
        <w:jc w:val="center"/>
        <w:rPr>
          <w:rFonts w:eastAsia="Calibri"/>
          <w:b/>
          <w:color w:val="000000"/>
          <w:lang w:val="ro-RO"/>
        </w:rPr>
      </w:pPr>
      <w:r w:rsidRPr="00657BF1">
        <w:rPr>
          <w:rFonts w:eastAsia="Calibri"/>
          <w:b/>
          <w:color w:val="000000"/>
          <w:lang w:val="ro-RO"/>
        </w:rPr>
        <w:t>AVIZAT:</w:t>
      </w:r>
    </w:p>
    <w:p w14:paraId="2FAC3088" w14:textId="77777777" w:rsidR="00BA77E9" w:rsidRPr="00657BF1" w:rsidRDefault="00D6040A" w:rsidP="00AE0478">
      <w:pPr>
        <w:tabs>
          <w:tab w:val="left" w:pos="5670"/>
        </w:tabs>
        <w:spacing w:line="259" w:lineRule="auto"/>
        <w:ind w:right="1112"/>
        <w:rPr>
          <w:rFonts w:eastAsia="Calibri"/>
          <w:b/>
          <w:bCs/>
          <w:iCs/>
          <w:color w:val="FF0000"/>
          <w:lang w:val="ro-RO"/>
        </w:rPr>
      </w:pPr>
      <w:r w:rsidRPr="00657BF1">
        <w:rPr>
          <w:rFonts w:eastAsia="Calibri"/>
          <w:b/>
          <w:color w:val="FF0000"/>
          <w:lang w:val="ro-RO"/>
        </w:rPr>
        <w:t xml:space="preserve">                         </w:t>
      </w:r>
      <w:r w:rsidR="003015C1" w:rsidRPr="00657BF1">
        <w:rPr>
          <w:rFonts w:eastAsia="Calibri"/>
          <w:b/>
          <w:bCs/>
          <w:iCs/>
          <w:color w:val="FF0000"/>
          <w:lang w:val="ro-RO"/>
        </w:rPr>
        <w:t xml:space="preserve">        </w:t>
      </w:r>
      <w:r w:rsidRPr="00657BF1">
        <w:rPr>
          <w:rFonts w:eastAsia="Calibri"/>
          <w:b/>
          <w:bCs/>
          <w:iCs/>
          <w:color w:val="FF0000"/>
          <w:lang w:val="ro-RO"/>
        </w:rPr>
        <w:t xml:space="preserve">             </w:t>
      </w:r>
      <w:r w:rsidR="00AE0478" w:rsidRPr="00657BF1">
        <w:rPr>
          <w:rFonts w:eastAsia="Calibri"/>
          <w:b/>
          <w:bCs/>
          <w:iCs/>
          <w:color w:val="FF0000"/>
          <w:lang w:val="ro-RO"/>
        </w:rPr>
        <w:tab/>
      </w:r>
      <w:r w:rsidR="00BA77E9" w:rsidRPr="00657BF1">
        <w:rPr>
          <w:rFonts w:eastAsia="Calibri"/>
          <w:b/>
          <w:bCs/>
          <w:iCs/>
          <w:color w:val="FF0000"/>
          <w:lang w:val="ro-RO"/>
        </w:rPr>
        <w:t xml:space="preserve">       </w:t>
      </w:r>
      <w:r w:rsidR="00BA77E9" w:rsidRPr="00657BF1">
        <w:rPr>
          <w:rFonts w:eastAsia="Calibri"/>
          <w:b/>
          <w:bCs/>
          <w:iCs/>
          <w:color w:val="FF0000"/>
          <w:lang w:val="ro-RO"/>
        </w:rPr>
        <w:tab/>
      </w:r>
      <w:r w:rsidR="00BA77E9" w:rsidRPr="00657BF1">
        <w:rPr>
          <w:rFonts w:eastAsia="Calibri"/>
          <w:b/>
          <w:bCs/>
          <w:iCs/>
          <w:color w:val="FF0000"/>
          <w:lang w:val="ro-RO"/>
        </w:rPr>
        <w:tab/>
      </w:r>
      <w:r w:rsidR="00BA77E9" w:rsidRPr="00657BF1">
        <w:rPr>
          <w:rFonts w:eastAsia="Calibri"/>
          <w:b/>
          <w:bCs/>
          <w:iCs/>
          <w:color w:val="FF0000"/>
          <w:lang w:val="ro-RO"/>
        </w:rPr>
        <w:tab/>
      </w:r>
      <w:r w:rsidR="00BA77E9" w:rsidRPr="00657BF1">
        <w:rPr>
          <w:rFonts w:eastAsia="Calibri"/>
          <w:b/>
          <w:bCs/>
          <w:iCs/>
          <w:color w:val="FF0000"/>
          <w:lang w:val="ro-RO"/>
        </w:rPr>
        <w:tab/>
      </w:r>
      <w:r w:rsidR="004077B7" w:rsidRPr="00657BF1">
        <w:rPr>
          <w:rFonts w:eastAsia="Calibri"/>
          <w:b/>
          <w:bCs/>
          <w:iCs/>
          <w:color w:val="FF0000"/>
          <w:lang w:val="ro-RO"/>
        </w:rPr>
        <w:t xml:space="preserve">    </w:t>
      </w:r>
    </w:p>
    <w:tbl>
      <w:tblPr>
        <w:tblW w:w="0" w:type="auto"/>
        <w:tblLook w:val="04A0" w:firstRow="1" w:lastRow="0" w:firstColumn="1" w:lastColumn="0" w:noHBand="0" w:noVBand="1"/>
      </w:tblPr>
      <w:tblGrid>
        <w:gridCol w:w="4859"/>
        <w:gridCol w:w="4890"/>
      </w:tblGrid>
      <w:tr w:rsidR="005D173B" w:rsidRPr="00254ACD" w14:paraId="5E98C783" w14:textId="77777777" w:rsidTr="00152A2A">
        <w:trPr>
          <w:trHeight w:val="1333"/>
        </w:trPr>
        <w:tc>
          <w:tcPr>
            <w:tcW w:w="4859" w:type="dxa"/>
          </w:tcPr>
          <w:p w14:paraId="7BCEAC24" w14:textId="77777777" w:rsidR="00AE0478" w:rsidRPr="00657BF1" w:rsidRDefault="00AE0478" w:rsidP="00D55608">
            <w:pPr>
              <w:spacing w:line="276" w:lineRule="auto"/>
              <w:jc w:val="center"/>
              <w:rPr>
                <w:rFonts w:eastAsia="Calibri"/>
                <w:b/>
                <w:bCs/>
                <w:iCs/>
                <w:lang w:val="ro-RO"/>
              </w:rPr>
            </w:pPr>
            <w:r w:rsidRPr="00657BF1">
              <w:rPr>
                <w:rFonts w:eastAsia="Calibri"/>
                <w:b/>
                <w:bCs/>
                <w:iCs/>
                <w:lang w:val="ro-RO"/>
              </w:rPr>
              <w:t>Viceprim-ministru,</w:t>
            </w:r>
          </w:p>
          <w:p w14:paraId="42AEE002" w14:textId="77777777" w:rsidR="00BA77E9" w:rsidRPr="00657BF1" w:rsidRDefault="00AE0478" w:rsidP="00D55608">
            <w:pPr>
              <w:spacing w:line="276" w:lineRule="auto"/>
              <w:jc w:val="center"/>
              <w:rPr>
                <w:rFonts w:eastAsia="Calibri"/>
                <w:b/>
                <w:lang w:val="ro-RO"/>
              </w:rPr>
            </w:pPr>
            <w:r w:rsidRPr="00657BF1">
              <w:rPr>
                <w:rFonts w:eastAsia="Calibri"/>
                <w:b/>
                <w:lang w:val="ro-RO"/>
              </w:rPr>
              <w:t xml:space="preserve"> Ministrul Afacerilor Interne</w:t>
            </w:r>
          </w:p>
          <w:p w14:paraId="37887311" w14:textId="77777777" w:rsidR="00152A2A" w:rsidRPr="00657BF1" w:rsidRDefault="00152A2A" w:rsidP="00D55608">
            <w:pPr>
              <w:spacing w:line="276" w:lineRule="auto"/>
              <w:jc w:val="center"/>
              <w:rPr>
                <w:rFonts w:eastAsia="Calibri"/>
                <w:b/>
                <w:lang w:val="ro-RO"/>
              </w:rPr>
            </w:pPr>
          </w:p>
          <w:p w14:paraId="49D47B07" w14:textId="31EA607E" w:rsidR="00AE0478" w:rsidRPr="00657BF1" w:rsidRDefault="00AE0478" w:rsidP="00D55608">
            <w:pPr>
              <w:spacing w:line="276" w:lineRule="auto"/>
              <w:jc w:val="center"/>
              <w:rPr>
                <w:rFonts w:eastAsia="Calibri"/>
                <w:b/>
                <w:bCs/>
                <w:iCs/>
                <w:lang w:val="ro-RO"/>
              </w:rPr>
            </w:pPr>
            <w:r w:rsidRPr="00657BF1">
              <w:rPr>
                <w:rFonts w:eastAsia="Calibri"/>
                <w:b/>
                <w:lang w:val="ro-RO"/>
              </w:rPr>
              <w:t xml:space="preserve">Marian-Cătălin PREDOIU </w:t>
            </w:r>
          </w:p>
        </w:tc>
        <w:tc>
          <w:tcPr>
            <w:tcW w:w="4890" w:type="dxa"/>
          </w:tcPr>
          <w:p w14:paraId="77808E43" w14:textId="77777777" w:rsidR="00AE0478" w:rsidRPr="00657BF1" w:rsidRDefault="00AE0478" w:rsidP="00D55608">
            <w:pPr>
              <w:spacing w:line="276" w:lineRule="auto"/>
              <w:jc w:val="center"/>
              <w:rPr>
                <w:rFonts w:eastAsia="Calibri"/>
                <w:b/>
                <w:bCs/>
                <w:iCs/>
                <w:lang w:val="ro-RO"/>
              </w:rPr>
            </w:pPr>
            <w:r w:rsidRPr="00657BF1">
              <w:rPr>
                <w:rFonts w:eastAsia="Calibri"/>
                <w:b/>
                <w:bCs/>
                <w:iCs/>
                <w:lang w:val="ro-RO"/>
              </w:rPr>
              <w:t xml:space="preserve">Viceprim-ministru, </w:t>
            </w:r>
          </w:p>
          <w:p w14:paraId="3A818A4B" w14:textId="77777777" w:rsidR="00152A2A" w:rsidRPr="00657BF1" w:rsidRDefault="00AE0478" w:rsidP="00152A2A">
            <w:pPr>
              <w:spacing w:line="276" w:lineRule="auto"/>
              <w:jc w:val="center"/>
              <w:rPr>
                <w:rFonts w:eastAsia="Calibri"/>
                <w:b/>
                <w:lang w:val="ro-RO"/>
              </w:rPr>
            </w:pPr>
            <w:r w:rsidRPr="00657BF1">
              <w:rPr>
                <w:rFonts w:eastAsia="Calibri"/>
                <w:b/>
                <w:bCs/>
                <w:iCs/>
                <w:lang w:val="ro-RO"/>
              </w:rPr>
              <w:t>Ministrul Apărării Naționale</w:t>
            </w:r>
            <w:r w:rsidRPr="00657BF1">
              <w:rPr>
                <w:rFonts w:eastAsia="Calibri"/>
                <w:b/>
                <w:lang w:val="ro-RO"/>
              </w:rPr>
              <w:t xml:space="preserve"> </w:t>
            </w:r>
          </w:p>
          <w:p w14:paraId="0BD814F0" w14:textId="77777777" w:rsidR="00152A2A" w:rsidRPr="00657BF1" w:rsidRDefault="00152A2A" w:rsidP="00152A2A">
            <w:pPr>
              <w:spacing w:line="276" w:lineRule="auto"/>
              <w:jc w:val="center"/>
              <w:rPr>
                <w:rFonts w:eastAsia="Calibri"/>
                <w:b/>
                <w:lang w:val="ro-RO"/>
              </w:rPr>
            </w:pPr>
          </w:p>
          <w:p w14:paraId="4874D822" w14:textId="77777777" w:rsidR="00657BF1" w:rsidRDefault="00AE0478" w:rsidP="00152A2A">
            <w:pPr>
              <w:spacing w:line="276" w:lineRule="auto"/>
              <w:jc w:val="center"/>
              <w:rPr>
                <w:rFonts w:eastAsia="Calibri"/>
                <w:b/>
                <w:lang w:val="ro-RO"/>
              </w:rPr>
            </w:pPr>
            <w:r w:rsidRPr="00657BF1">
              <w:rPr>
                <w:rFonts w:eastAsia="Calibri"/>
                <w:b/>
                <w:lang w:val="ro-RO"/>
              </w:rPr>
              <w:t xml:space="preserve">  </w:t>
            </w:r>
            <w:r w:rsidRPr="00657BF1">
              <w:rPr>
                <w:rFonts w:eastAsia="Calibri"/>
                <w:b/>
                <w:bCs/>
                <w:iCs/>
                <w:lang w:val="ro-RO"/>
              </w:rPr>
              <w:t>Radu - Dinel MIRUȚĂ</w:t>
            </w:r>
            <w:r w:rsidRPr="00657BF1">
              <w:rPr>
                <w:rFonts w:eastAsia="Calibri"/>
                <w:b/>
                <w:lang w:val="ro-RO"/>
              </w:rPr>
              <w:t xml:space="preserve">      </w:t>
            </w:r>
          </w:p>
          <w:p w14:paraId="7D0FB4D2" w14:textId="2262EEEE" w:rsidR="00BA77E9" w:rsidRPr="00657BF1" w:rsidRDefault="00AE0478" w:rsidP="00152A2A">
            <w:pPr>
              <w:spacing w:line="276" w:lineRule="auto"/>
              <w:jc w:val="center"/>
              <w:rPr>
                <w:rFonts w:eastAsia="Calibri"/>
                <w:b/>
                <w:lang w:val="ro-RO"/>
              </w:rPr>
            </w:pPr>
            <w:r w:rsidRPr="00657BF1">
              <w:rPr>
                <w:rFonts w:eastAsia="Calibri"/>
                <w:b/>
                <w:lang w:val="ro-RO"/>
              </w:rPr>
              <w:t xml:space="preserve">    </w:t>
            </w:r>
          </w:p>
        </w:tc>
      </w:tr>
      <w:tr w:rsidR="00152A2A" w:rsidRPr="00254ACD" w14:paraId="7935DFE9" w14:textId="77777777" w:rsidTr="00152A2A">
        <w:trPr>
          <w:trHeight w:val="1149"/>
        </w:trPr>
        <w:tc>
          <w:tcPr>
            <w:tcW w:w="4859" w:type="dxa"/>
          </w:tcPr>
          <w:p w14:paraId="590BC94A" w14:textId="77777777" w:rsidR="00152A2A" w:rsidRPr="00657BF1" w:rsidRDefault="00152A2A" w:rsidP="00D55608">
            <w:pPr>
              <w:spacing w:line="276" w:lineRule="auto"/>
              <w:jc w:val="center"/>
              <w:rPr>
                <w:rFonts w:eastAsia="Calibri"/>
                <w:b/>
                <w:bCs/>
                <w:iCs/>
                <w:lang w:val="ro-RO"/>
              </w:rPr>
            </w:pPr>
            <w:r w:rsidRPr="00657BF1">
              <w:rPr>
                <w:rFonts w:eastAsia="Calibri"/>
                <w:b/>
                <w:bCs/>
                <w:iCs/>
                <w:lang w:val="ro-RO"/>
              </w:rPr>
              <w:t>Secretarul General al Guvernului</w:t>
            </w:r>
          </w:p>
          <w:p w14:paraId="1557296D" w14:textId="77777777" w:rsidR="00152A2A" w:rsidRPr="00657BF1" w:rsidRDefault="00152A2A" w:rsidP="00D55608">
            <w:pPr>
              <w:spacing w:line="276" w:lineRule="auto"/>
              <w:jc w:val="center"/>
              <w:rPr>
                <w:rFonts w:eastAsia="Calibri"/>
                <w:b/>
                <w:bCs/>
                <w:iCs/>
                <w:lang w:val="ro-RO"/>
              </w:rPr>
            </w:pPr>
          </w:p>
          <w:p w14:paraId="5F660FBA" w14:textId="37AA2638" w:rsidR="00152A2A" w:rsidRPr="00657BF1" w:rsidRDefault="00152A2A" w:rsidP="00D55608">
            <w:pPr>
              <w:spacing w:line="276" w:lineRule="auto"/>
              <w:jc w:val="center"/>
              <w:rPr>
                <w:rFonts w:eastAsia="Calibri"/>
                <w:b/>
                <w:bCs/>
                <w:iCs/>
                <w:lang w:val="ro-RO"/>
              </w:rPr>
            </w:pPr>
            <w:r w:rsidRPr="00657BF1">
              <w:rPr>
                <w:rFonts w:eastAsia="Calibri"/>
                <w:b/>
                <w:bCs/>
                <w:iCs/>
                <w:lang w:val="ro-RO"/>
              </w:rPr>
              <w:t>Ștefan-Radu OPREA</w:t>
            </w:r>
          </w:p>
        </w:tc>
        <w:tc>
          <w:tcPr>
            <w:tcW w:w="4890" w:type="dxa"/>
          </w:tcPr>
          <w:p w14:paraId="730E34F5" w14:textId="77777777" w:rsidR="00152A2A" w:rsidRPr="00657BF1" w:rsidRDefault="00152A2A" w:rsidP="00D55608">
            <w:pPr>
              <w:spacing w:line="276" w:lineRule="auto"/>
              <w:jc w:val="center"/>
              <w:rPr>
                <w:rFonts w:eastAsia="Calibri"/>
                <w:b/>
                <w:bCs/>
                <w:iCs/>
                <w:lang w:val="ro-RO"/>
              </w:rPr>
            </w:pPr>
            <w:r w:rsidRPr="00657BF1">
              <w:rPr>
                <w:rFonts w:eastAsia="Calibri"/>
                <w:b/>
                <w:bCs/>
                <w:iCs/>
                <w:lang w:val="ro-RO"/>
              </w:rPr>
              <w:t>Șeful Cancelariei Prim-Ministrului</w:t>
            </w:r>
          </w:p>
          <w:p w14:paraId="7B495877" w14:textId="77777777" w:rsidR="00152A2A" w:rsidRPr="00657BF1" w:rsidRDefault="00152A2A" w:rsidP="00D55608">
            <w:pPr>
              <w:spacing w:line="276" w:lineRule="auto"/>
              <w:jc w:val="center"/>
              <w:rPr>
                <w:rFonts w:eastAsia="Calibri"/>
                <w:b/>
                <w:bCs/>
                <w:iCs/>
                <w:lang w:val="ro-RO"/>
              </w:rPr>
            </w:pPr>
          </w:p>
          <w:p w14:paraId="73A8C354" w14:textId="77777777" w:rsidR="00152A2A" w:rsidRDefault="00152A2A" w:rsidP="00D55608">
            <w:pPr>
              <w:spacing w:line="276" w:lineRule="auto"/>
              <w:jc w:val="center"/>
              <w:rPr>
                <w:rFonts w:eastAsia="Calibri"/>
                <w:b/>
                <w:bCs/>
                <w:iCs/>
                <w:lang w:val="ro-RO"/>
              </w:rPr>
            </w:pPr>
            <w:r w:rsidRPr="00657BF1">
              <w:rPr>
                <w:rFonts w:eastAsia="Calibri"/>
                <w:b/>
                <w:bCs/>
                <w:iCs/>
                <w:lang w:val="ro-RO"/>
              </w:rPr>
              <w:t>Mihai JURCA</w:t>
            </w:r>
          </w:p>
          <w:p w14:paraId="697644AF" w14:textId="59BA3859" w:rsidR="00657BF1" w:rsidRPr="00657BF1" w:rsidRDefault="00657BF1" w:rsidP="00D55608">
            <w:pPr>
              <w:spacing w:line="276" w:lineRule="auto"/>
              <w:jc w:val="center"/>
              <w:rPr>
                <w:rFonts w:eastAsia="Calibri"/>
                <w:b/>
                <w:bCs/>
                <w:iCs/>
                <w:lang w:val="ro-RO"/>
              </w:rPr>
            </w:pPr>
          </w:p>
        </w:tc>
      </w:tr>
      <w:tr w:rsidR="00FA2925" w:rsidRPr="00657BF1" w14:paraId="5ABD6DBA" w14:textId="77777777" w:rsidTr="00152A2A">
        <w:trPr>
          <w:trHeight w:val="1491"/>
        </w:trPr>
        <w:tc>
          <w:tcPr>
            <w:tcW w:w="4859" w:type="dxa"/>
          </w:tcPr>
          <w:p w14:paraId="53BF8D50" w14:textId="77777777" w:rsidR="00FA2925" w:rsidRPr="00657BF1" w:rsidRDefault="00FA2925" w:rsidP="00D55608">
            <w:pPr>
              <w:spacing w:line="276" w:lineRule="auto"/>
              <w:jc w:val="center"/>
              <w:rPr>
                <w:rFonts w:eastAsia="Calibri"/>
                <w:b/>
                <w:bCs/>
                <w:iCs/>
                <w:lang w:val="ro-RO"/>
              </w:rPr>
            </w:pPr>
            <w:r w:rsidRPr="00657BF1">
              <w:rPr>
                <w:rFonts w:eastAsia="Calibri"/>
                <w:b/>
                <w:bCs/>
                <w:iCs/>
                <w:lang w:val="ro-RO"/>
              </w:rPr>
              <w:t>Ministrul Dezvoltării, Lucrărilor Publice și Administrației</w:t>
            </w:r>
          </w:p>
          <w:p w14:paraId="00E85492" w14:textId="77777777" w:rsidR="00FA2925" w:rsidRPr="00657BF1" w:rsidRDefault="00FA2925" w:rsidP="00D55608">
            <w:pPr>
              <w:spacing w:line="276" w:lineRule="auto"/>
              <w:jc w:val="center"/>
              <w:rPr>
                <w:rFonts w:eastAsia="Calibri"/>
                <w:b/>
                <w:bCs/>
                <w:iCs/>
                <w:lang w:val="ro-RO"/>
              </w:rPr>
            </w:pPr>
          </w:p>
          <w:p w14:paraId="3CFE93F5" w14:textId="22D1A9A0" w:rsidR="00FA2925" w:rsidRPr="00657BF1" w:rsidRDefault="00FA2925" w:rsidP="00D55608">
            <w:pPr>
              <w:spacing w:line="276" w:lineRule="auto"/>
              <w:jc w:val="center"/>
              <w:rPr>
                <w:rFonts w:eastAsia="Calibri"/>
                <w:b/>
                <w:bCs/>
                <w:iCs/>
                <w:lang w:val="ro-RO"/>
              </w:rPr>
            </w:pPr>
            <w:r w:rsidRPr="00657BF1">
              <w:rPr>
                <w:rFonts w:eastAsia="Calibri"/>
                <w:b/>
                <w:bCs/>
                <w:iCs/>
                <w:lang w:val="ro-RO"/>
              </w:rPr>
              <w:t>CSEKE Attila Zoltán</w:t>
            </w:r>
          </w:p>
        </w:tc>
        <w:tc>
          <w:tcPr>
            <w:tcW w:w="4890" w:type="dxa"/>
          </w:tcPr>
          <w:p w14:paraId="4BBD5771" w14:textId="77777777" w:rsidR="00FA2925" w:rsidRPr="00657BF1" w:rsidRDefault="00FA2925" w:rsidP="00D55608">
            <w:pPr>
              <w:spacing w:line="276" w:lineRule="auto"/>
              <w:jc w:val="center"/>
              <w:rPr>
                <w:rFonts w:eastAsia="Calibri"/>
                <w:b/>
                <w:bCs/>
                <w:iCs/>
                <w:lang w:val="ro-RO"/>
              </w:rPr>
            </w:pPr>
            <w:r w:rsidRPr="00657BF1">
              <w:rPr>
                <w:rFonts w:eastAsia="Calibri"/>
                <w:b/>
                <w:bCs/>
                <w:iCs/>
                <w:lang w:val="ro-RO"/>
              </w:rPr>
              <w:t>Președintele Agenției Naționale a Funcționarilor Publici</w:t>
            </w:r>
          </w:p>
          <w:p w14:paraId="0DB6EF6C" w14:textId="77777777" w:rsidR="00FA2925" w:rsidRPr="00657BF1" w:rsidRDefault="00FA2925" w:rsidP="00D55608">
            <w:pPr>
              <w:spacing w:line="276" w:lineRule="auto"/>
              <w:jc w:val="center"/>
              <w:rPr>
                <w:rFonts w:eastAsia="Calibri"/>
                <w:b/>
                <w:bCs/>
                <w:iCs/>
                <w:lang w:val="ro-RO"/>
              </w:rPr>
            </w:pPr>
          </w:p>
          <w:p w14:paraId="0911D3C6" w14:textId="77777777" w:rsidR="00FA2925" w:rsidRDefault="00FA2925" w:rsidP="00D55608">
            <w:pPr>
              <w:spacing w:line="276" w:lineRule="auto"/>
              <w:jc w:val="center"/>
              <w:rPr>
                <w:rFonts w:eastAsia="Calibri"/>
                <w:b/>
                <w:bCs/>
                <w:iCs/>
                <w:lang w:val="ro-RO"/>
              </w:rPr>
            </w:pPr>
            <w:r w:rsidRPr="00657BF1">
              <w:rPr>
                <w:rFonts w:eastAsia="Calibri"/>
                <w:b/>
                <w:bCs/>
                <w:iCs/>
                <w:lang w:val="ro-RO"/>
              </w:rPr>
              <w:t>Vasile-Felix COZMA</w:t>
            </w:r>
          </w:p>
          <w:p w14:paraId="0D7EF659" w14:textId="3F6C5ACC" w:rsidR="00657BF1" w:rsidRPr="00657BF1" w:rsidRDefault="00657BF1" w:rsidP="00D55608">
            <w:pPr>
              <w:spacing w:line="276" w:lineRule="auto"/>
              <w:jc w:val="center"/>
              <w:rPr>
                <w:rFonts w:eastAsia="Calibri"/>
                <w:b/>
                <w:bCs/>
                <w:iCs/>
                <w:lang w:val="ro-RO"/>
              </w:rPr>
            </w:pPr>
          </w:p>
        </w:tc>
      </w:tr>
      <w:tr w:rsidR="005D173B" w:rsidRPr="00657BF1" w14:paraId="462C0E77" w14:textId="77777777" w:rsidTr="00152A2A">
        <w:trPr>
          <w:trHeight w:val="1380"/>
        </w:trPr>
        <w:tc>
          <w:tcPr>
            <w:tcW w:w="4859" w:type="dxa"/>
          </w:tcPr>
          <w:p w14:paraId="09127349" w14:textId="77777777" w:rsidR="00AE0478" w:rsidRPr="00657BF1" w:rsidRDefault="00152A2A" w:rsidP="00152A2A">
            <w:pPr>
              <w:spacing w:line="276" w:lineRule="auto"/>
              <w:jc w:val="center"/>
              <w:rPr>
                <w:rFonts w:eastAsia="Calibri"/>
                <w:b/>
                <w:bCs/>
                <w:lang w:val="ro-RO"/>
              </w:rPr>
            </w:pPr>
            <w:r w:rsidRPr="00657BF1">
              <w:rPr>
                <w:rFonts w:eastAsia="Calibri"/>
                <w:b/>
                <w:bCs/>
                <w:lang w:val="ro-RO"/>
              </w:rPr>
              <w:t xml:space="preserve">Ministrul Economiei, </w:t>
            </w:r>
            <w:proofErr w:type="spellStart"/>
            <w:r w:rsidRPr="00657BF1">
              <w:rPr>
                <w:rFonts w:eastAsia="Calibri"/>
                <w:b/>
                <w:bCs/>
                <w:lang w:val="ro-RO"/>
              </w:rPr>
              <w:t>Digitalizarii</w:t>
            </w:r>
            <w:proofErr w:type="spellEnd"/>
            <w:r w:rsidRPr="00657BF1">
              <w:rPr>
                <w:rFonts w:eastAsia="Calibri"/>
                <w:b/>
                <w:bCs/>
                <w:lang w:val="ro-RO"/>
              </w:rPr>
              <w:t xml:space="preserve">, </w:t>
            </w:r>
            <w:proofErr w:type="spellStart"/>
            <w:r w:rsidRPr="00657BF1">
              <w:rPr>
                <w:rFonts w:eastAsia="Calibri"/>
                <w:b/>
                <w:bCs/>
                <w:lang w:val="ro-RO"/>
              </w:rPr>
              <w:t>Antreprenoriatului</w:t>
            </w:r>
            <w:proofErr w:type="spellEnd"/>
            <w:r w:rsidRPr="00657BF1">
              <w:rPr>
                <w:rFonts w:eastAsia="Calibri"/>
                <w:b/>
                <w:bCs/>
                <w:lang w:val="ro-RO"/>
              </w:rPr>
              <w:t xml:space="preserve"> și Turismului</w:t>
            </w:r>
          </w:p>
          <w:p w14:paraId="7EA99DF6" w14:textId="77777777" w:rsidR="00152A2A" w:rsidRPr="00657BF1" w:rsidRDefault="00152A2A" w:rsidP="00152A2A">
            <w:pPr>
              <w:spacing w:line="276" w:lineRule="auto"/>
              <w:rPr>
                <w:rFonts w:eastAsia="Calibri"/>
                <w:b/>
                <w:bCs/>
                <w:iCs/>
                <w:lang w:val="ro-RO"/>
              </w:rPr>
            </w:pPr>
          </w:p>
          <w:p w14:paraId="1774C36E" w14:textId="30A7C305" w:rsidR="00152A2A" w:rsidRPr="00657BF1" w:rsidRDefault="00152A2A" w:rsidP="00152A2A">
            <w:pPr>
              <w:spacing w:line="276" w:lineRule="auto"/>
              <w:ind w:left="720"/>
              <w:rPr>
                <w:rFonts w:eastAsia="Calibri"/>
                <w:b/>
                <w:bCs/>
                <w:iCs/>
                <w:lang w:val="ro-RO"/>
              </w:rPr>
            </w:pPr>
            <w:r w:rsidRPr="00657BF1">
              <w:rPr>
                <w:rFonts w:eastAsia="Calibri"/>
                <w:b/>
                <w:bCs/>
                <w:iCs/>
                <w:lang w:val="ro-RO"/>
              </w:rPr>
              <w:t>Ambrozie - Irineu DARĂU</w:t>
            </w:r>
          </w:p>
        </w:tc>
        <w:tc>
          <w:tcPr>
            <w:tcW w:w="4890" w:type="dxa"/>
          </w:tcPr>
          <w:p w14:paraId="076005FD" w14:textId="77777777" w:rsidR="0075413E" w:rsidRPr="00657BF1" w:rsidRDefault="0075413E" w:rsidP="0075413E">
            <w:pPr>
              <w:spacing w:line="276" w:lineRule="auto"/>
              <w:jc w:val="center"/>
              <w:rPr>
                <w:rFonts w:eastAsia="Calibri"/>
                <w:b/>
                <w:bCs/>
                <w:iCs/>
                <w:lang w:val="ro-RO"/>
              </w:rPr>
            </w:pPr>
            <w:r w:rsidRPr="00657BF1">
              <w:rPr>
                <w:rFonts w:eastAsia="Calibri"/>
                <w:b/>
                <w:bCs/>
                <w:iCs/>
                <w:lang w:val="ro-RO"/>
              </w:rPr>
              <w:t>Ministrul Afacerilor Externe</w:t>
            </w:r>
          </w:p>
          <w:p w14:paraId="1F2CB592" w14:textId="77777777" w:rsidR="00152A2A" w:rsidRPr="00657BF1" w:rsidRDefault="00152A2A" w:rsidP="0075413E">
            <w:pPr>
              <w:spacing w:line="276" w:lineRule="auto"/>
              <w:jc w:val="center"/>
              <w:rPr>
                <w:rFonts w:eastAsia="Calibri"/>
                <w:b/>
                <w:bCs/>
                <w:iCs/>
                <w:lang w:val="ro-RO"/>
              </w:rPr>
            </w:pPr>
          </w:p>
          <w:p w14:paraId="20497048" w14:textId="77777777" w:rsidR="00152A2A" w:rsidRPr="00657BF1" w:rsidRDefault="00152A2A" w:rsidP="00152A2A">
            <w:pPr>
              <w:spacing w:line="276" w:lineRule="auto"/>
              <w:rPr>
                <w:rFonts w:eastAsia="Calibri"/>
                <w:b/>
                <w:bCs/>
                <w:iCs/>
                <w:lang w:val="ro-RO"/>
              </w:rPr>
            </w:pPr>
          </w:p>
          <w:p w14:paraId="66CDD58F" w14:textId="2EF160FF" w:rsidR="0075413E" w:rsidRPr="00657BF1" w:rsidRDefault="0075413E" w:rsidP="00152A2A">
            <w:pPr>
              <w:spacing w:line="276" w:lineRule="auto"/>
              <w:jc w:val="center"/>
              <w:rPr>
                <w:rFonts w:eastAsia="Calibri"/>
                <w:b/>
                <w:bCs/>
                <w:iCs/>
                <w:lang w:val="ro-RO"/>
              </w:rPr>
            </w:pPr>
            <w:r w:rsidRPr="00657BF1">
              <w:rPr>
                <w:rFonts w:eastAsia="Calibri"/>
                <w:b/>
                <w:bCs/>
                <w:iCs/>
                <w:lang w:val="ro-RO"/>
              </w:rPr>
              <w:t>Silvia-Oana ȚOIU</w:t>
            </w:r>
          </w:p>
          <w:p w14:paraId="73E0D1A4" w14:textId="77777777" w:rsidR="00AE0478" w:rsidRDefault="00AE0478" w:rsidP="00AE0478">
            <w:pPr>
              <w:spacing w:line="276" w:lineRule="auto"/>
              <w:jc w:val="center"/>
              <w:rPr>
                <w:rFonts w:eastAsia="Calibri"/>
                <w:b/>
                <w:bCs/>
                <w:iCs/>
                <w:lang w:val="ro-RO"/>
              </w:rPr>
            </w:pPr>
          </w:p>
          <w:p w14:paraId="2F96C5B9" w14:textId="0504E280" w:rsidR="00657BF1" w:rsidRPr="00657BF1" w:rsidRDefault="00657BF1" w:rsidP="00AE0478">
            <w:pPr>
              <w:spacing w:line="276" w:lineRule="auto"/>
              <w:jc w:val="center"/>
              <w:rPr>
                <w:rFonts w:eastAsia="Calibri"/>
                <w:b/>
                <w:bCs/>
                <w:iCs/>
                <w:lang w:val="ro-RO"/>
              </w:rPr>
            </w:pPr>
          </w:p>
        </w:tc>
      </w:tr>
      <w:tr w:rsidR="005D173B" w:rsidRPr="00657BF1" w14:paraId="075CB1B7" w14:textId="77777777" w:rsidTr="00152A2A">
        <w:trPr>
          <w:trHeight w:val="1027"/>
        </w:trPr>
        <w:tc>
          <w:tcPr>
            <w:tcW w:w="4859" w:type="dxa"/>
          </w:tcPr>
          <w:p w14:paraId="2333D747" w14:textId="23DC04AC" w:rsidR="00AE0478" w:rsidRPr="00657BF1" w:rsidRDefault="00FA2925" w:rsidP="00152A2A">
            <w:pPr>
              <w:spacing w:line="276" w:lineRule="auto"/>
              <w:ind w:left="426"/>
              <w:jc w:val="center"/>
              <w:rPr>
                <w:rFonts w:eastAsia="Calibri"/>
                <w:b/>
                <w:lang w:val="ro-RO"/>
              </w:rPr>
            </w:pPr>
            <w:r w:rsidRPr="00657BF1">
              <w:rPr>
                <w:rFonts w:eastAsia="Calibri"/>
                <w:b/>
                <w:lang w:val="ro-RO"/>
              </w:rPr>
              <w:t>Ministrul Transporturilor ș</w:t>
            </w:r>
            <w:r w:rsidR="00152A2A" w:rsidRPr="00657BF1">
              <w:rPr>
                <w:rFonts w:eastAsia="Calibri"/>
                <w:b/>
                <w:lang w:val="ro-RO"/>
              </w:rPr>
              <w:t xml:space="preserve">i </w:t>
            </w:r>
            <w:r w:rsidRPr="00657BF1">
              <w:rPr>
                <w:rFonts w:eastAsia="Calibri"/>
                <w:b/>
                <w:lang w:val="ro-RO"/>
              </w:rPr>
              <w:t>Infrastructurii</w:t>
            </w:r>
          </w:p>
          <w:p w14:paraId="7DD49229" w14:textId="77777777" w:rsidR="00FA2925" w:rsidRPr="00657BF1" w:rsidRDefault="00FA2925" w:rsidP="00AE0478">
            <w:pPr>
              <w:spacing w:line="276" w:lineRule="auto"/>
              <w:ind w:left="426"/>
              <w:jc w:val="center"/>
              <w:rPr>
                <w:rFonts w:eastAsia="Calibri"/>
                <w:b/>
                <w:lang w:val="ro-RO"/>
              </w:rPr>
            </w:pPr>
          </w:p>
          <w:p w14:paraId="767BF27F" w14:textId="47B4AD46" w:rsidR="00FA2925" w:rsidRPr="00657BF1" w:rsidRDefault="00FA2925" w:rsidP="00AE0478">
            <w:pPr>
              <w:spacing w:line="276" w:lineRule="auto"/>
              <w:ind w:left="426"/>
              <w:jc w:val="center"/>
              <w:rPr>
                <w:rFonts w:eastAsia="Calibri"/>
                <w:b/>
                <w:lang w:val="ro-RO"/>
              </w:rPr>
            </w:pPr>
            <w:r w:rsidRPr="00657BF1">
              <w:rPr>
                <w:rFonts w:eastAsia="Calibri"/>
                <w:b/>
                <w:lang w:val="ro-RO"/>
              </w:rPr>
              <w:t>Ciprian-Constantin ȘERBAN</w:t>
            </w:r>
          </w:p>
          <w:p w14:paraId="5F6C4639" w14:textId="77777777" w:rsidR="00AE0478" w:rsidRPr="00657BF1" w:rsidRDefault="00AE0478" w:rsidP="00152A2A">
            <w:pPr>
              <w:spacing w:line="276" w:lineRule="auto"/>
              <w:rPr>
                <w:rFonts w:eastAsia="Calibri"/>
                <w:b/>
                <w:bCs/>
                <w:iCs/>
                <w:lang w:val="ro-RO"/>
              </w:rPr>
            </w:pPr>
          </w:p>
        </w:tc>
        <w:tc>
          <w:tcPr>
            <w:tcW w:w="4890" w:type="dxa"/>
          </w:tcPr>
          <w:p w14:paraId="15A93B25" w14:textId="681543DB" w:rsidR="00AE0478" w:rsidRPr="00657BF1" w:rsidRDefault="00FA2925" w:rsidP="00FA2925">
            <w:pPr>
              <w:spacing w:line="276" w:lineRule="auto"/>
              <w:rPr>
                <w:rFonts w:eastAsia="Calibri"/>
                <w:b/>
                <w:bCs/>
                <w:iCs/>
                <w:lang w:val="ro-RO"/>
              </w:rPr>
            </w:pPr>
            <w:r w:rsidRPr="00657BF1">
              <w:rPr>
                <w:rFonts w:eastAsia="Calibri"/>
                <w:b/>
                <w:bCs/>
                <w:iCs/>
                <w:lang w:val="ro-RO"/>
              </w:rPr>
              <w:t xml:space="preserve">                        Ministrul Energiei</w:t>
            </w:r>
          </w:p>
          <w:p w14:paraId="6CA8C818" w14:textId="77777777" w:rsidR="00FA2925" w:rsidRPr="00657BF1" w:rsidRDefault="00FA2925" w:rsidP="00FA2925">
            <w:pPr>
              <w:spacing w:line="276" w:lineRule="auto"/>
              <w:rPr>
                <w:rFonts w:eastAsia="Calibri"/>
                <w:b/>
                <w:bCs/>
                <w:iCs/>
                <w:lang w:val="ro-RO"/>
              </w:rPr>
            </w:pPr>
          </w:p>
          <w:p w14:paraId="69058C6C" w14:textId="77777777" w:rsidR="00152A2A" w:rsidRPr="00657BF1" w:rsidRDefault="00152A2A" w:rsidP="00AE0478">
            <w:pPr>
              <w:spacing w:line="276" w:lineRule="auto"/>
              <w:jc w:val="center"/>
              <w:rPr>
                <w:rFonts w:eastAsia="Calibri"/>
                <w:b/>
                <w:bCs/>
                <w:iCs/>
                <w:lang w:val="ro-RO"/>
              </w:rPr>
            </w:pPr>
          </w:p>
          <w:p w14:paraId="2D473648" w14:textId="084C0FC4" w:rsidR="00FA2925" w:rsidRPr="00657BF1" w:rsidRDefault="00FA2925" w:rsidP="00AE0478">
            <w:pPr>
              <w:spacing w:line="276" w:lineRule="auto"/>
              <w:jc w:val="center"/>
              <w:rPr>
                <w:rFonts w:eastAsia="Calibri"/>
                <w:b/>
                <w:bCs/>
                <w:iCs/>
                <w:lang w:val="ro-RO"/>
              </w:rPr>
            </w:pPr>
            <w:r w:rsidRPr="00657BF1">
              <w:rPr>
                <w:rFonts w:eastAsia="Calibri"/>
                <w:b/>
                <w:bCs/>
                <w:iCs/>
                <w:lang w:val="ro-RO"/>
              </w:rPr>
              <w:t xml:space="preserve">Bogdan-Gruia IVAN </w:t>
            </w:r>
          </w:p>
          <w:p w14:paraId="10E76030" w14:textId="77777777" w:rsidR="00FA2925" w:rsidRDefault="00FA2925" w:rsidP="00AE0478">
            <w:pPr>
              <w:spacing w:line="276" w:lineRule="auto"/>
              <w:jc w:val="center"/>
              <w:rPr>
                <w:rFonts w:eastAsia="Calibri"/>
                <w:b/>
                <w:bCs/>
                <w:iCs/>
                <w:lang w:val="ro-RO"/>
              </w:rPr>
            </w:pPr>
          </w:p>
          <w:p w14:paraId="6C5155FD" w14:textId="766A5C47" w:rsidR="00657BF1" w:rsidRPr="00657BF1" w:rsidRDefault="00657BF1" w:rsidP="00AE0478">
            <w:pPr>
              <w:spacing w:line="276" w:lineRule="auto"/>
              <w:jc w:val="center"/>
              <w:rPr>
                <w:rFonts w:eastAsia="Calibri"/>
                <w:b/>
                <w:bCs/>
                <w:iCs/>
                <w:lang w:val="ro-RO"/>
              </w:rPr>
            </w:pPr>
          </w:p>
        </w:tc>
      </w:tr>
      <w:tr w:rsidR="00FA2925" w:rsidRPr="00254ACD" w14:paraId="0A61AD6D" w14:textId="77777777" w:rsidTr="00152A2A">
        <w:trPr>
          <w:trHeight w:val="1027"/>
        </w:trPr>
        <w:tc>
          <w:tcPr>
            <w:tcW w:w="4859" w:type="dxa"/>
          </w:tcPr>
          <w:p w14:paraId="4EC3E90E" w14:textId="77777777" w:rsidR="00FA2925" w:rsidRPr="00657BF1" w:rsidRDefault="00FA2925" w:rsidP="00AE0478">
            <w:pPr>
              <w:spacing w:line="276" w:lineRule="auto"/>
              <w:ind w:left="426"/>
              <w:jc w:val="center"/>
              <w:rPr>
                <w:rFonts w:eastAsia="Calibri"/>
                <w:b/>
                <w:lang w:val="ro-RO"/>
              </w:rPr>
            </w:pPr>
            <w:r w:rsidRPr="00657BF1">
              <w:rPr>
                <w:rFonts w:eastAsia="Calibri"/>
                <w:b/>
                <w:lang w:val="ro-RO"/>
              </w:rPr>
              <w:t>Ministrul Agriculturii și Dezvoltării Rurale</w:t>
            </w:r>
          </w:p>
          <w:p w14:paraId="7A44468D" w14:textId="77777777" w:rsidR="00FA2925" w:rsidRPr="00657BF1" w:rsidRDefault="00FA2925" w:rsidP="00AE0478">
            <w:pPr>
              <w:spacing w:line="276" w:lineRule="auto"/>
              <w:ind w:left="426"/>
              <w:jc w:val="center"/>
              <w:rPr>
                <w:rFonts w:eastAsia="Calibri"/>
                <w:b/>
                <w:lang w:val="ro-RO"/>
              </w:rPr>
            </w:pPr>
          </w:p>
          <w:p w14:paraId="0D5ACAE1" w14:textId="77777777" w:rsidR="00FA2925" w:rsidRDefault="00FA2925" w:rsidP="00AE0478">
            <w:pPr>
              <w:spacing w:line="276" w:lineRule="auto"/>
              <w:ind w:left="426"/>
              <w:jc w:val="center"/>
              <w:rPr>
                <w:rFonts w:eastAsia="Calibri"/>
                <w:b/>
                <w:lang w:val="ro-RO"/>
              </w:rPr>
            </w:pPr>
            <w:r w:rsidRPr="00657BF1">
              <w:rPr>
                <w:rFonts w:eastAsia="Calibri"/>
                <w:b/>
                <w:lang w:val="ro-RO"/>
              </w:rPr>
              <w:t>Florin-Ionuț BARBU</w:t>
            </w:r>
          </w:p>
          <w:p w14:paraId="74D0DD6A" w14:textId="2DBCE7F5" w:rsidR="00657BF1" w:rsidRPr="00657BF1" w:rsidRDefault="00657BF1" w:rsidP="00AE0478">
            <w:pPr>
              <w:spacing w:line="276" w:lineRule="auto"/>
              <w:ind w:left="426"/>
              <w:jc w:val="center"/>
              <w:rPr>
                <w:rFonts w:eastAsia="Calibri"/>
                <w:b/>
                <w:lang w:val="ro-RO"/>
              </w:rPr>
            </w:pPr>
          </w:p>
        </w:tc>
        <w:tc>
          <w:tcPr>
            <w:tcW w:w="4890" w:type="dxa"/>
          </w:tcPr>
          <w:p w14:paraId="4B892C99" w14:textId="08B31FC2" w:rsidR="00FA2925" w:rsidRPr="00657BF1" w:rsidRDefault="00FA2925" w:rsidP="00152A2A">
            <w:pPr>
              <w:spacing w:line="276" w:lineRule="auto"/>
              <w:jc w:val="center"/>
              <w:rPr>
                <w:rFonts w:eastAsia="Calibri"/>
                <w:b/>
                <w:bCs/>
                <w:iCs/>
                <w:lang w:val="ro-RO"/>
              </w:rPr>
            </w:pPr>
            <w:r w:rsidRPr="00657BF1">
              <w:rPr>
                <w:rFonts w:eastAsia="Calibri"/>
                <w:b/>
                <w:bCs/>
                <w:iCs/>
                <w:lang w:val="ro-RO"/>
              </w:rPr>
              <w:t>Ministrul Mediului, Apelor și Pădurilor</w:t>
            </w:r>
          </w:p>
          <w:p w14:paraId="01CD861C" w14:textId="2892E9B4" w:rsidR="00152A2A" w:rsidRPr="00657BF1" w:rsidRDefault="00152A2A" w:rsidP="00FA2925">
            <w:pPr>
              <w:spacing w:line="276" w:lineRule="auto"/>
              <w:rPr>
                <w:rFonts w:eastAsia="Calibri"/>
                <w:b/>
                <w:bCs/>
                <w:iCs/>
                <w:lang w:val="ro-RO"/>
              </w:rPr>
            </w:pPr>
          </w:p>
          <w:p w14:paraId="0BCB1E9A" w14:textId="1999CBFA" w:rsidR="00FA2925" w:rsidRPr="00657BF1" w:rsidRDefault="00152A2A" w:rsidP="00FA2925">
            <w:pPr>
              <w:spacing w:line="276" w:lineRule="auto"/>
              <w:rPr>
                <w:rFonts w:eastAsia="Calibri"/>
                <w:b/>
                <w:bCs/>
                <w:iCs/>
                <w:lang w:val="ro-RO"/>
              </w:rPr>
            </w:pPr>
            <w:r w:rsidRPr="00657BF1">
              <w:rPr>
                <w:rFonts w:eastAsia="Calibri"/>
                <w:b/>
                <w:bCs/>
                <w:iCs/>
                <w:lang w:val="ro-RO"/>
              </w:rPr>
              <w:t xml:space="preserve">                </w:t>
            </w:r>
            <w:r w:rsidR="00FA2925" w:rsidRPr="00657BF1">
              <w:rPr>
                <w:rFonts w:eastAsia="Calibri"/>
                <w:b/>
                <w:bCs/>
                <w:iCs/>
                <w:lang w:val="ro-RO"/>
              </w:rPr>
              <w:t>Diana Anda BUZOIANU</w:t>
            </w:r>
          </w:p>
        </w:tc>
      </w:tr>
      <w:tr w:rsidR="00FA2925" w:rsidRPr="00657BF1" w14:paraId="6DF7F9E6" w14:textId="77777777" w:rsidTr="00152A2A">
        <w:trPr>
          <w:trHeight w:val="1027"/>
        </w:trPr>
        <w:tc>
          <w:tcPr>
            <w:tcW w:w="4859" w:type="dxa"/>
          </w:tcPr>
          <w:p w14:paraId="64AD9AA8" w14:textId="42DD8468" w:rsidR="00FA2925" w:rsidRPr="00657BF1" w:rsidRDefault="00FA2925" w:rsidP="00AE0478">
            <w:pPr>
              <w:spacing w:line="276" w:lineRule="auto"/>
              <w:ind w:left="426"/>
              <w:jc w:val="center"/>
              <w:rPr>
                <w:rFonts w:eastAsia="Calibri"/>
                <w:b/>
                <w:lang w:val="ro-RO"/>
              </w:rPr>
            </w:pPr>
            <w:r w:rsidRPr="00657BF1">
              <w:rPr>
                <w:rFonts w:eastAsia="Calibri"/>
                <w:b/>
                <w:lang w:val="ro-RO"/>
              </w:rPr>
              <w:t>Ministrul Educației și Cercetării</w:t>
            </w:r>
          </w:p>
          <w:p w14:paraId="71422EB1" w14:textId="77777777" w:rsidR="00FA2925" w:rsidRPr="00657BF1" w:rsidRDefault="00FA2925" w:rsidP="00AE0478">
            <w:pPr>
              <w:spacing w:line="276" w:lineRule="auto"/>
              <w:ind w:left="426"/>
              <w:jc w:val="center"/>
              <w:rPr>
                <w:rFonts w:eastAsia="Calibri"/>
                <w:b/>
                <w:lang w:val="ro-RO"/>
              </w:rPr>
            </w:pPr>
          </w:p>
          <w:p w14:paraId="2E30BDAD" w14:textId="77777777" w:rsidR="00FA2925" w:rsidRDefault="00FA2925" w:rsidP="00AE0478">
            <w:pPr>
              <w:spacing w:line="276" w:lineRule="auto"/>
              <w:ind w:left="426"/>
              <w:jc w:val="center"/>
              <w:rPr>
                <w:rFonts w:eastAsia="Calibri"/>
                <w:b/>
                <w:lang w:val="ro-RO"/>
              </w:rPr>
            </w:pPr>
            <w:r w:rsidRPr="00657BF1">
              <w:rPr>
                <w:rFonts w:eastAsia="Calibri"/>
                <w:b/>
                <w:lang w:val="ro-RO"/>
              </w:rPr>
              <w:t>Mihai DIMIAN</w:t>
            </w:r>
          </w:p>
          <w:p w14:paraId="1F855AC9" w14:textId="77777777" w:rsidR="00657BF1" w:rsidRDefault="00657BF1" w:rsidP="00AE0478">
            <w:pPr>
              <w:spacing w:line="276" w:lineRule="auto"/>
              <w:ind w:left="426"/>
              <w:jc w:val="center"/>
              <w:rPr>
                <w:rFonts w:eastAsia="Calibri"/>
                <w:b/>
                <w:lang w:val="ro-RO"/>
              </w:rPr>
            </w:pPr>
          </w:p>
          <w:p w14:paraId="2013D57F" w14:textId="317078F8" w:rsidR="00657BF1" w:rsidRPr="00657BF1" w:rsidRDefault="00657BF1" w:rsidP="00AE0478">
            <w:pPr>
              <w:spacing w:line="276" w:lineRule="auto"/>
              <w:ind w:left="426"/>
              <w:jc w:val="center"/>
              <w:rPr>
                <w:rFonts w:eastAsia="Calibri"/>
                <w:b/>
                <w:lang w:val="ro-RO"/>
              </w:rPr>
            </w:pPr>
          </w:p>
        </w:tc>
        <w:tc>
          <w:tcPr>
            <w:tcW w:w="4890" w:type="dxa"/>
          </w:tcPr>
          <w:p w14:paraId="0AFDB84C" w14:textId="77777777" w:rsidR="00FA2925" w:rsidRPr="00657BF1" w:rsidRDefault="00FA2925" w:rsidP="00AE0478">
            <w:pPr>
              <w:spacing w:line="276" w:lineRule="auto"/>
              <w:jc w:val="center"/>
              <w:rPr>
                <w:rFonts w:eastAsia="Calibri"/>
                <w:b/>
                <w:lang w:val="ro-RO"/>
              </w:rPr>
            </w:pPr>
            <w:r w:rsidRPr="00657BF1">
              <w:rPr>
                <w:rFonts w:eastAsia="Calibri"/>
                <w:b/>
                <w:lang w:val="ro-RO"/>
              </w:rPr>
              <w:t>Ministrul Culturii</w:t>
            </w:r>
          </w:p>
          <w:p w14:paraId="2963A231" w14:textId="77777777" w:rsidR="00FA2925" w:rsidRPr="00657BF1" w:rsidRDefault="00FA2925" w:rsidP="00AE0478">
            <w:pPr>
              <w:spacing w:line="276" w:lineRule="auto"/>
              <w:jc w:val="center"/>
              <w:rPr>
                <w:rFonts w:eastAsia="Calibri"/>
                <w:b/>
                <w:lang w:val="ro-RO"/>
              </w:rPr>
            </w:pPr>
          </w:p>
          <w:p w14:paraId="6D16408F" w14:textId="77777777" w:rsidR="00FA2925" w:rsidRDefault="00FA2925" w:rsidP="00152A2A">
            <w:pPr>
              <w:spacing w:line="276" w:lineRule="auto"/>
              <w:jc w:val="center"/>
              <w:rPr>
                <w:rFonts w:eastAsia="Calibri"/>
                <w:b/>
                <w:lang w:val="ro-RO"/>
              </w:rPr>
            </w:pPr>
            <w:r w:rsidRPr="00657BF1">
              <w:rPr>
                <w:rFonts w:eastAsia="Calibri"/>
                <w:b/>
                <w:lang w:val="ro-RO"/>
              </w:rPr>
              <w:t>Demeter András ISTVÁN</w:t>
            </w:r>
          </w:p>
          <w:p w14:paraId="33F2356A" w14:textId="271C78C2" w:rsidR="00657BF1" w:rsidRPr="00657BF1" w:rsidRDefault="00657BF1" w:rsidP="00152A2A">
            <w:pPr>
              <w:spacing w:line="276" w:lineRule="auto"/>
              <w:jc w:val="center"/>
              <w:rPr>
                <w:rFonts w:eastAsia="Calibri"/>
                <w:b/>
                <w:lang w:val="ro-RO"/>
              </w:rPr>
            </w:pPr>
          </w:p>
        </w:tc>
      </w:tr>
      <w:tr w:rsidR="00FA2925" w:rsidRPr="00254ACD" w14:paraId="45C891AD" w14:textId="77777777" w:rsidTr="00152A2A">
        <w:trPr>
          <w:trHeight w:val="1027"/>
        </w:trPr>
        <w:tc>
          <w:tcPr>
            <w:tcW w:w="4859" w:type="dxa"/>
          </w:tcPr>
          <w:p w14:paraId="0098F523" w14:textId="77777777" w:rsidR="00FA2925" w:rsidRPr="00657BF1" w:rsidRDefault="00FA2925" w:rsidP="00AE0478">
            <w:pPr>
              <w:spacing w:line="276" w:lineRule="auto"/>
              <w:ind w:left="426"/>
              <w:jc w:val="center"/>
              <w:rPr>
                <w:rFonts w:eastAsia="Calibri"/>
                <w:b/>
                <w:lang w:val="ro-RO"/>
              </w:rPr>
            </w:pPr>
            <w:r w:rsidRPr="00657BF1">
              <w:rPr>
                <w:rFonts w:eastAsia="Calibri"/>
                <w:b/>
                <w:lang w:val="ro-RO"/>
              </w:rPr>
              <w:t>Ministrul Sănătății</w:t>
            </w:r>
          </w:p>
          <w:p w14:paraId="4AE5EBD1" w14:textId="77777777" w:rsidR="00FA2925" w:rsidRPr="00657BF1" w:rsidRDefault="00FA2925" w:rsidP="00AE0478">
            <w:pPr>
              <w:spacing w:line="276" w:lineRule="auto"/>
              <w:ind w:left="426"/>
              <w:jc w:val="center"/>
              <w:rPr>
                <w:rFonts w:eastAsia="Calibri"/>
                <w:b/>
                <w:lang w:val="ro-RO"/>
              </w:rPr>
            </w:pPr>
          </w:p>
          <w:p w14:paraId="0094EEC7" w14:textId="4981F339" w:rsidR="00FA2925" w:rsidRPr="00657BF1" w:rsidRDefault="00FA2925" w:rsidP="00AE0478">
            <w:pPr>
              <w:spacing w:line="276" w:lineRule="auto"/>
              <w:ind w:left="426"/>
              <w:jc w:val="center"/>
              <w:rPr>
                <w:rFonts w:eastAsia="Calibri"/>
                <w:b/>
                <w:lang w:val="ro-RO"/>
              </w:rPr>
            </w:pPr>
            <w:r w:rsidRPr="00657BF1">
              <w:rPr>
                <w:rFonts w:eastAsia="Calibri"/>
                <w:b/>
                <w:lang w:val="ro-RO"/>
              </w:rPr>
              <w:t>Alexandru-Florin ROGOBETE</w:t>
            </w:r>
          </w:p>
        </w:tc>
        <w:tc>
          <w:tcPr>
            <w:tcW w:w="4890" w:type="dxa"/>
          </w:tcPr>
          <w:p w14:paraId="543DFC32" w14:textId="77777777" w:rsidR="00FA2925" w:rsidRPr="00657BF1" w:rsidRDefault="00FA2925" w:rsidP="00AE0478">
            <w:pPr>
              <w:spacing w:line="276" w:lineRule="auto"/>
              <w:jc w:val="center"/>
              <w:rPr>
                <w:rFonts w:eastAsia="Calibri"/>
                <w:b/>
                <w:lang w:val="ro-RO"/>
              </w:rPr>
            </w:pPr>
            <w:r w:rsidRPr="00657BF1">
              <w:rPr>
                <w:rFonts w:eastAsia="Calibri"/>
                <w:b/>
                <w:lang w:val="ro-RO"/>
              </w:rPr>
              <w:t>Ministrul Investițiilor și Proiectelor Europene</w:t>
            </w:r>
          </w:p>
          <w:p w14:paraId="619C9304" w14:textId="77777777" w:rsidR="00FA2925" w:rsidRPr="00657BF1" w:rsidRDefault="00FA2925" w:rsidP="00AE0478">
            <w:pPr>
              <w:spacing w:line="276" w:lineRule="auto"/>
              <w:jc w:val="center"/>
              <w:rPr>
                <w:rFonts w:eastAsia="Calibri"/>
                <w:b/>
                <w:lang w:val="ro-RO"/>
              </w:rPr>
            </w:pPr>
          </w:p>
          <w:p w14:paraId="6C9907AE" w14:textId="64AA0172" w:rsidR="00FA2925" w:rsidRPr="00657BF1" w:rsidRDefault="00FA2925" w:rsidP="00AE0478">
            <w:pPr>
              <w:spacing w:line="276" w:lineRule="auto"/>
              <w:jc w:val="center"/>
              <w:rPr>
                <w:rFonts w:eastAsia="Calibri"/>
                <w:b/>
                <w:lang w:val="ro-RO"/>
              </w:rPr>
            </w:pPr>
            <w:r w:rsidRPr="00657BF1">
              <w:rPr>
                <w:rFonts w:eastAsia="Calibri"/>
                <w:b/>
                <w:lang w:val="ro-RO"/>
              </w:rPr>
              <w:t>Dragoș-Nicolae PÎSLARU</w:t>
            </w:r>
          </w:p>
        </w:tc>
      </w:tr>
    </w:tbl>
    <w:p w14:paraId="1500970D" w14:textId="77777777" w:rsidR="00657BF1" w:rsidRDefault="00657BF1" w:rsidP="00657BF1">
      <w:pPr>
        <w:ind w:right="687"/>
        <w:rPr>
          <w:rFonts w:eastAsia="Calibri"/>
          <w:b/>
          <w:color w:val="000000"/>
          <w:lang w:val="ro-RO"/>
        </w:rPr>
      </w:pPr>
    </w:p>
    <w:p w14:paraId="4123738D" w14:textId="77777777" w:rsidR="00657BF1" w:rsidRDefault="00657BF1" w:rsidP="00657BF1">
      <w:pPr>
        <w:ind w:right="687"/>
        <w:rPr>
          <w:rFonts w:eastAsia="Calibri"/>
          <w:b/>
          <w:color w:val="000000"/>
          <w:lang w:val="ro-RO"/>
        </w:rPr>
      </w:pPr>
    </w:p>
    <w:p w14:paraId="5474BBA2" w14:textId="77777777" w:rsidR="00657BF1" w:rsidRDefault="00657BF1" w:rsidP="00657BF1">
      <w:pPr>
        <w:autoSpaceDE w:val="0"/>
        <w:autoSpaceDN w:val="0"/>
        <w:spacing w:line="276" w:lineRule="auto"/>
        <w:ind w:left="-270"/>
        <w:jc w:val="both"/>
        <w:rPr>
          <w:color w:val="000000"/>
          <w:lang w:val="ro-RO"/>
        </w:rPr>
      </w:pPr>
      <w:r w:rsidRPr="00657BF1">
        <w:rPr>
          <w:color w:val="000000"/>
          <w:lang w:val="ro-RO"/>
        </w:rPr>
        <w:t>Față de cele menționate anterior, a fost elaborat prezentul proiect de Lege</w:t>
      </w:r>
      <w:r w:rsidRPr="00657BF1">
        <w:rPr>
          <w:bCs/>
          <w:color w:val="000000"/>
          <w:lang w:val="ro-RO"/>
        </w:rPr>
        <w:t xml:space="preserve"> </w:t>
      </w:r>
      <w:r w:rsidRPr="00657BF1">
        <w:rPr>
          <w:bCs/>
          <w:iCs/>
          <w:color w:val="000000"/>
          <w:lang w:val="ro-RO"/>
        </w:rPr>
        <w:t>privind salarizarea personalului plătit din fonduri publice</w:t>
      </w:r>
      <w:r w:rsidRPr="00657BF1">
        <w:rPr>
          <w:bCs/>
          <w:color w:val="000000"/>
          <w:lang w:val="ro-RO"/>
        </w:rPr>
        <w:t>,</w:t>
      </w:r>
      <w:r w:rsidRPr="00657BF1">
        <w:rPr>
          <w:b/>
          <w:bCs/>
          <w:color w:val="000000"/>
          <w:lang w:val="ro-RO"/>
        </w:rPr>
        <w:t xml:space="preserve"> </w:t>
      </w:r>
      <w:r w:rsidRPr="00657BF1">
        <w:rPr>
          <w:color w:val="000000"/>
          <w:lang w:val="ro-RO"/>
        </w:rPr>
        <w:t>pe care îl supunem spre aprobare Guvernului.</w:t>
      </w:r>
    </w:p>
    <w:p w14:paraId="486A7595" w14:textId="77777777" w:rsidR="00657BF1" w:rsidRPr="00657BF1" w:rsidRDefault="00657BF1" w:rsidP="00657BF1">
      <w:pPr>
        <w:autoSpaceDE w:val="0"/>
        <w:autoSpaceDN w:val="0"/>
        <w:spacing w:line="276" w:lineRule="auto"/>
        <w:ind w:left="-270"/>
        <w:jc w:val="both"/>
        <w:rPr>
          <w:color w:val="000000"/>
          <w:lang w:val="ro-RO"/>
        </w:rPr>
      </w:pPr>
    </w:p>
    <w:p w14:paraId="1D4F1144" w14:textId="77777777" w:rsidR="00657BF1" w:rsidRPr="00657BF1" w:rsidRDefault="00657BF1" w:rsidP="00657BF1">
      <w:pPr>
        <w:spacing w:line="276" w:lineRule="auto"/>
        <w:rPr>
          <w:rFonts w:eastAsia="Calibri"/>
          <w:b/>
          <w:bCs/>
          <w:color w:val="000000"/>
          <w:lang w:val="ro-RO"/>
        </w:rPr>
      </w:pPr>
    </w:p>
    <w:p w14:paraId="7D562841" w14:textId="77777777" w:rsidR="00657BF1" w:rsidRPr="00657BF1" w:rsidRDefault="00657BF1" w:rsidP="00657BF1">
      <w:pPr>
        <w:spacing w:line="276" w:lineRule="auto"/>
        <w:jc w:val="center"/>
        <w:rPr>
          <w:rFonts w:eastAsia="Calibri"/>
          <w:b/>
          <w:bCs/>
          <w:color w:val="000000"/>
          <w:lang w:val="ro-RO"/>
        </w:rPr>
      </w:pPr>
      <w:r w:rsidRPr="00657BF1">
        <w:rPr>
          <w:rFonts w:eastAsia="Calibri"/>
          <w:b/>
          <w:bCs/>
          <w:color w:val="000000"/>
          <w:lang w:val="ro-RO"/>
        </w:rPr>
        <w:t xml:space="preserve">Ministrul Muncii, Familiei, Tineretului și Solidarității Sociale </w:t>
      </w:r>
    </w:p>
    <w:p w14:paraId="6D533B8C" w14:textId="77777777" w:rsidR="00657BF1" w:rsidRPr="00657BF1" w:rsidRDefault="00657BF1" w:rsidP="00657BF1">
      <w:pPr>
        <w:spacing w:line="276" w:lineRule="auto"/>
        <w:jc w:val="center"/>
        <w:rPr>
          <w:rFonts w:eastAsia="Calibri"/>
          <w:b/>
          <w:bCs/>
          <w:iCs/>
          <w:color w:val="FF0000"/>
          <w:lang w:val="ro-RO"/>
        </w:rPr>
      </w:pPr>
      <w:r w:rsidRPr="00657BF1">
        <w:rPr>
          <w:rFonts w:eastAsia="Calibri"/>
          <w:b/>
          <w:color w:val="000000"/>
          <w:lang w:val="ro-RO"/>
        </w:rPr>
        <w:t>Petre-Florin MANOLE</w:t>
      </w:r>
      <w:r w:rsidRPr="00657BF1">
        <w:rPr>
          <w:rFonts w:eastAsia="Calibri"/>
          <w:b/>
          <w:bCs/>
          <w:iCs/>
          <w:color w:val="FF0000"/>
          <w:lang w:val="ro-RO"/>
        </w:rPr>
        <w:t xml:space="preserve">   </w:t>
      </w:r>
    </w:p>
    <w:p w14:paraId="2D206677" w14:textId="77777777" w:rsidR="00657BF1" w:rsidRPr="00657BF1" w:rsidRDefault="00657BF1" w:rsidP="00657BF1">
      <w:pPr>
        <w:spacing w:line="276" w:lineRule="auto"/>
        <w:jc w:val="center"/>
        <w:rPr>
          <w:rFonts w:eastAsia="Calibri"/>
          <w:b/>
          <w:bCs/>
          <w:iCs/>
          <w:color w:val="FF0000"/>
          <w:lang w:val="ro-RO"/>
        </w:rPr>
      </w:pPr>
    </w:p>
    <w:p w14:paraId="39B0FE6E" w14:textId="64CC659D" w:rsidR="00657BF1" w:rsidRPr="00657BF1" w:rsidRDefault="00657BF1" w:rsidP="00657BF1">
      <w:pPr>
        <w:ind w:right="687"/>
        <w:jc w:val="center"/>
        <w:rPr>
          <w:rFonts w:eastAsia="Calibri"/>
          <w:b/>
          <w:color w:val="000000"/>
          <w:u w:val="single"/>
          <w:lang w:val="ro-RO"/>
        </w:rPr>
      </w:pPr>
      <w:r w:rsidRPr="00657BF1">
        <w:rPr>
          <w:rFonts w:eastAsia="Calibri"/>
          <w:b/>
          <w:color w:val="000000"/>
          <w:u w:val="single"/>
          <w:lang w:val="ro-RO"/>
        </w:rPr>
        <w:t>AVIZAT:</w:t>
      </w:r>
    </w:p>
    <w:p w14:paraId="3F84A5C3" w14:textId="77777777" w:rsidR="00657BF1" w:rsidRDefault="00657BF1" w:rsidP="00657BF1">
      <w:pPr>
        <w:ind w:right="687"/>
        <w:rPr>
          <w:rFonts w:eastAsia="Calibri"/>
          <w:b/>
          <w:color w:val="000000"/>
          <w:lang w:val="ro-RO"/>
        </w:rPr>
      </w:pPr>
    </w:p>
    <w:p w14:paraId="078007AB" w14:textId="45B64B92" w:rsidR="00657BF1" w:rsidRDefault="00657BF1" w:rsidP="00657BF1">
      <w:pPr>
        <w:rPr>
          <w:rFonts w:eastAsia="Calibri"/>
          <w:b/>
          <w:bCs/>
          <w:iCs/>
          <w:color w:val="000000"/>
          <w:lang w:val="ro-RO"/>
        </w:rPr>
      </w:pPr>
      <w:r>
        <w:rPr>
          <w:rFonts w:eastAsia="Calibri"/>
          <w:b/>
          <w:bCs/>
          <w:iCs/>
          <w:color w:val="000000"/>
          <w:lang w:val="ro-RO"/>
        </w:rPr>
        <w:t xml:space="preserve">                                                             </w:t>
      </w:r>
      <w:r w:rsidRPr="00657BF1">
        <w:rPr>
          <w:rFonts w:eastAsia="Calibri"/>
          <w:b/>
          <w:bCs/>
          <w:iCs/>
          <w:color w:val="000000"/>
          <w:lang w:val="ro-RO"/>
        </w:rPr>
        <w:t>Viceprim-ministru</w:t>
      </w:r>
    </w:p>
    <w:p w14:paraId="19301CE2" w14:textId="77777777" w:rsidR="00657BF1" w:rsidRDefault="00657BF1" w:rsidP="00657BF1">
      <w:pPr>
        <w:rPr>
          <w:rFonts w:eastAsia="Calibri"/>
          <w:b/>
          <w:bCs/>
          <w:iCs/>
          <w:color w:val="000000"/>
          <w:lang w:val="ro-RO"/>
        </w:rPr>
      </w:pPr>
    </w:p>
    <w:p w14:paraId="55B2F1C7" w14:textId="5DC68DE4" w:rsidR="00657BF1" w:rsidRPr="00657BF1" w:rsidRDefault="00657BF1" w:rsidP="00657BF1">
      <w:pPr>
        <w:spacing w:line="276" w:lineRule="auto"/>
        <w:rPr>
          <w:rFonts w:eastAsia="Calibri"/>
          <w:b/>
          <w:color w:val="000000"/>
          <w:lang w:val="ro-RO"/>
        </w:rPr>
      </w:pPr>
      <w:r>
        <w:rPr>
          <w:rFonts w:eastAsia="Calibri"/>
          <w:b/>
          <w:bCs/>
          <w:iCs/>
          <w:color w:val="000000"/>
          <w:lang w:val="ro-RO"/>
        </w:rPr>
        <w:t xml:space="preserve">                                                              </w:t>
      </w:r>
      <w:r w:rsidRPr="00657BF1">
        <w:rPr>
          <w:rFonts w:eastAsia="Calibri"/>
          <w:b/>
          <w:color w:val="000000"/>
          <w:lang w:val="ro-RO"/>
        </w:rPr>
        <w:t>Marian NEACȘU</w:t>
      </w:r>
    </w:p>
    <w:p w14:paraId="11388F65" w14:textId="77777777" w:rsidR="00657BF1" w:rsidRPr="00657BF1" w:rsidRDefault="00657BF1" w:rsidP="00657BF1">
      <w:pPr>
        <w:ind w:right="687"/>
        <w:rPr>
          <w:rFonts w:eastAsia="Calibri"/>
          <w:b/>
          <w:color w:val="000000"/>
          <w:lang w:val="ro-RO"/>
        </w:rPr>
      </w:pPr>
    </w:p>
    <w:tbl>
      <w:tblPr>
        <w:tblW w:w="0" w:type="auto"/>
        <w:tblLook w:val="04A0" w:firstRow="1" w:lastRow="0" w:firstColumn="1" w:lastColumn="0" w:noHBand="0" w:noVBand="1"/>
      </w:tblPr>
      <w:tblGrid>
        <w:gridCol w:w="4859"/>
        <w:gridCol w:w="4890"/>
      </w:tblGrid>
      <w:tr w:rsidR="00152A2A" w:rsidRPr="00657BF1" w14:paraId="0C8B4333" w14:textId="77777777" w:rsidTr="00657BF1">
        <w:trPr>
          <w:trHeight w:val="1027"/>
        </w:trPr>
        <w:tc>
          <w:tcPr>
            <w:tcW w:w="4859" w:type="dxa"/>
          </w:tcPr>
          <w:p w14:paraId="04850D34" w14:textId="77777777" w:rsidR="00657BF1" w:rsidRDefault="00657BF1" w:rsidP="00657BF1">
            <w:pPr>
              <w:spacing w:line="276" w:lineRule="auto"/>
              <w:rPr>
                <w:rFonts w:eastAsia="Calibri"/>
                <w:b/>
                <w:lang w:val="ro-RO"/>
              </w:rPr>
            </w:pPr>
          </w:p>
          <w:p w14:paraId="31A468DD" w14:textId="77777777" w:rsidR="00657BF1" w:rsidRDefault="00657BF1" w:rsidP="00320B7E">
            <w:pPr>
              <w:spacing w:line="276" w:lineRule="auto"/>
              <w:jc w:val="center"/>
              <w:rPr>
                <w:rFonts w:eastAsia="Calibri"/>
                <w:b/>
                <w:lang w:val="ro-RO"/>
              </w:rPr>
            </w:pPr>
          </w:p>
          <w:p w14:paraId="1BD28D22" w14:textId="1235B66F" w:rsidR="00152A2A" w:rsidRDefault="00152A2A" w:rsidP="00320B7E">
            <w:pPr>
              <w:spacing w:line="276" w:lineRule="auto"/>
              <w:jc w:val="center"/>
              <w:rPr>
                <w:rFonts w:eastAsia="Calibri"/>
                <w:b/>
                <w:lang w:val="ro-RO"/>
              </w:rPr>
            </w:pPr>
            <w:r w:rsidRPr="00657BF1">
              <w:rPr>
                <w:rFonts w:eastAsia="Calibri"/>
                <w:b/>
                <w:lang w:val="ro-RO"/>
              </w:rPr>
              <w:t>Ministrul Finanțelor</w:t>
            </w:r>
          </w:p>
          <w:p w14:paraId="15999192" w14:textId="77777777" w:rsidR="00657BF1" w:rsidRPr="00657BF1" w:rsidRDefault="00657BF1" w:rsidP="00320B7E">
            <w:pPr>
              <w:spacing w:line="276" w:lineRule="auto"/>
              <w:jc w:val="center"/>
              <w:rPr>
                <w:rFonts w:eastAsia="Calibri"/>
                <w:b/>
                <w:lang w:val="ro-RO"/>
              </w:rPr>
            </w:pPr>
          </w:p>
          <w:p w14:paraId="777D0F3D" w14:textId="77777777" w:rsidR="00152A2A" w:rsidRPr="00657BF1" w:rsidRDefault="00152A2A" w:rsidP="00320B7E">
            <w:pPr>
              <w:spacing w:line="276" w:lineRule="auto"/>
              <w:jc w:val="center"/>
              <w:rPr>
                <w:rFonts w:eastAsia="Calibri"/>
                <w:b/>
                <w:lang w:val="ro-RO"/>
              </w:rPr>
            </w:pPr>
            <w:r w:rsidRPr="00657BF1">
              <w:rPr>
                <w:rFonts w:eastAsia="Calibri"/>
                <w:b/>
                <w:lang w:val="ro-RO"/>
              </w:rPr>
              <w:t>Alexandru NAZARE</w:t>
            </w:r>
          </w:p>
          <w:p w14:paraId="13BE98B7" w14:textId="77777777" w:rsidR="00152A2A" w:rsidRPr="00657BF1" w:rsidRDefault="00152A2A" w:rsidP="00320B7E">
            <w:pPr>
              <w:spacing w:after="160" w:line="276" w:lineRule="auto"/>
              <w:jc w:val="center"/>
              <w:rPr>
                <w:rFonts w:eastAsia="Calibri"/>
                <w:b/>
                <w:bCs/>
                <w:iCs/>
                <w:lang w:val="ro-RO"/>
              </w:rPr>
            </w:pPr>
          </w:p>
        </w:tc>
        <w:tc>
          <w:tcPr>
            <w:tcW w:w="4890" w:type="dxa"/>
          </w:tcPr>
          <w:p w14:paraId="76A73095" w14:textId="77777777" w:rsidR="00657BF1" w:rsidRDefault="00657BF1" w:rsidP="00320B7E">
            <w:pPr>
              <w:spacing w:line="276" w:lineRule="auto"/>
              <w:jc w:val="center"/>
              <w:rPr>
                <w:rFonts w:eastAsia="Calibri"/>
                <w:b/>
                <w:lang w:val="ro-RO"/>
              </w:rPr>
            </w:pPr>
          </w:p>
          <w:p w14:paraId="49CA9E4B" w14:textId="77777777" w:rsidR="00657BF1" w:rsidRDefault="00657BF1" w:rsidP="00320B7E">
            <w:pPr>
              <w:spacing w:line="276" w:lineRule="auto"/>
              <w:jc w:val="center"/>
              <w:rPr>
                <w:rFonts w:eastAsia="Calibri"/>
                <w:b/>
                <w:lang w:val="ro-RO"/>
              </w:rPr>
            </w:pPr>
          </w:p>
          <w:p w14:paraId="73C327A9" w14:textId="77777777" w:rsidR="00657BF1" w:rsidRDefault="00657BF1" w:rsidP="00320B7E">
            <w:pPr>
              <w:spacing w:line="276" w:lineRule="auto"/>
              <w:jc w:val="center"/>
              <w:rPr>
                <w:rFonts w:eastAsia="Calibri"/>
                <w:b/>
                <w:lang w:val="ro-RO"/>
              </w:rPr>
            </w:pPr>
          </w:p>
          <w:p w14:paraId="11F55A35" w14:textId="0A72DE34" w:rsidR="00152A2A" w:rsidRDefault="00152A2A" w:rsidP="00320B7E">
            <w:pPr>
              <w:spacing w:line="276" w:lineRule="auto"/>
              <w:jc w:val="center"/>
              <w:rPr>
                <w:rFonts w:eastAsia="Calibri"/>
                <w:b/>
                <w:lang w:val="ro-RO"/>
              </w:rPr>
            </w:pPr>
            <w:r w:rsidRPr="00657BF1">
              <w:rPr>
                <w:rFonts w:eastAsia="Calibri"/>
                <w:b/>
                <w:lang w:val="ro-RO"/>
              </w:rPr>
              <w:t>Ministrul Justiției</w:t>
            </w:r>
          </w:p>
          <w:p w14:paraId="097F4324" w14:textId="77777777" w:rsidR="00657BF1" w:rsidRPr="00657BF1" w:rsidRDefault="00657BF1" w:rsidP="00320B7E">
            <w:pPr>
              <w:spacing w:line="276" w:lineRule="auto"/>
              <w:jc w:val="center"/>
              <w:rPr>
                <w:rFonts w:eastAsia="Calibri"/>
                <w:b/>
                <w:lang w:val="ro-RO"/>
              </w:rPr>
            </w:pPr>
          </w:p>
          <w:p w14:paraId="23982604" w14:textId="7D22E9BB" w:rsidR="00152A2A" w:rsidRPr="00657BF1" w:rsidRDefault="00152A2A" w:rsidP="00152A2A">
            <w:pPr>
              <w:spacing w:line="276" w:lineRule="auto"/>
              <w:jc w:val="center"/>
              <w:rPr>
                <w:rFonts w:eastAsia="Calibri"/>
                <w:b/>
                <w:lang w:val="ro-RO"/>
              </w:rPr>
            </w:pPr>
            <w:r w:rsidRPr="00657BF1">
              <w:rPr>
                <w:rFonts w:eastAsia="Calibri"/>
                <w:b/>
                <w:lang w:val="ro-RO"/>
              </w:rPr>
              <w:t>Radu MARINESCU</w:t>
            </w:r>
          </w:p>
          <w:p w14:paraId="1EF733CF" w14:textId="77777777" w:rsidR="00152A2A" w:rsidRPr="00657BF1" w:rsidRDefault="00152A2A" w:rsidP="00320B7E">
            <w:pPr>
              <w:spacing w:line="276" w:lineRule="auto"/>
              <w:jc w:val="center"/>
              <w:rPr>
                <w:rFonts w:eastAsia="Calibri"/>
                <w:b/>
                <w:bCs/>
                <w:iCs/>
                <w:lang w:val="ro-RO"/>
              </w:rPr>
            </w:pPr>
          </w:p>
        </w:tc>
      </w:tr>
    </w:tbl>
    <w:p w14:paraId="0BB21A66" w14:textId="77777777" w:rsidR="00D55608" w:rsidRPr="00657BF1" w:rsidRDefault="00D55608">
      <w:pPr>
        <w:tabs>
          <w:tab w:val="left" w:pos="1758"/>
        </w:tabs>
        <w:autoSpaceDE w:val="0"/>
        <w:autoSpaceDN w:val="0"/>
        <w:adjustRightInd w:val="0"/>
        <w:spacing w:line="276" w:lineRule="auto"/>
        <w:jc w:val="center"/>
        <w:rPr>
          <w:rFonts w:eastAsia="Calibri"/>
          <w:b/>
          <w:bCs/>
          <w:color w:val="FF0000"/>
          <w:lang w:val="ro-RO"/>
        </w:rPr>
      </w:pPr>
    </w:p>
    <w:p w14:paraId="61AC6BE6" w14:textId="77777777" w:rsidR="00152A2A" w:rsidRPr="00657BF1" w:rsidRDefault="00152A2A">
      <w:pPr>
        <w:tabs>
          <w:tab w:val="left" w:pos="1758"/>
        </w:tabs>
        <w:autoSpaceDE w:val="0"/>
        <w:autoSpaceDN w:val="0"/>
        <w:adjustRightInd w:val="0"/>
        <w:spacing w:line="276" w:lineRule="auto"/>
        <w:jc w:val="center"/>
        <w:rPr>
          <w:rFonts w:eastAsia="Calibri"/>
          <w:b/>
          <w:bCs/>
          <w:color w:val="FF0000"/>
          <w:lang w:val="ro-RO"/>
        </w:rPr>
      </w:pPr>
    </w:p>
    <w:sectPr w:rsidR="00152A2A" w:rsidRPr="00657BF1" w:rsidSect="00657BF1">
      <w:footerReference w:type="even" r:id="rId11"/>
      <w:pgSz w:w="11907" w:h="16840" w:code="9"/>
      <w:pgMar w:top="426" w:right="708" w:bottom="851" w:left="1440" w:header="709"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6182" w14:textId="77777777" w:rsidR="00264AB6" w:rsidRDefault="00264AB6" w:rsidP="007F729C">
      <w:r>
        <w:separator/>
      </w:r>
    </w:p>
  </w:endnote>
  <w:endnote w:type="continuationSeparator" w:id="0">
    <w:p w14:paraId="13F88C3B" w14:textId="77777777" w:rsidR="00264AB6" w:rsidRDefault="00264AB6" w:rsidP="007F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Ro">
    <w:altName w:val="Arial Narrow"/>
    <w:charset w:val="00"/>
    <w:family w:val="swiss"/>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302F" w14:textId="77777777" w:rsidR="00632EC6" w:rsidRDefault="00FE2AA0" w:rsidP="00F0001B">
    <w:pPr>
      <w:pStyle w:val="Footer"/>
      <w:framePr w:wrap="around" w:vAnchor="text" w:hAnchor="margin" w:xAlign="center" w:y="1"/>
      <w:rPr>
        <w:rStyle w:val="PageNumber"/>
      </w:rPr>
    </w:pPr>
    <w:r>
      <w:rPr>
        <w:rStyle w:val="PageNumber"/>
      </w:rPr>
      <w:fldChar w:fldCharType="begin"/>
    </w:r>
    <w:r w:rsidR="00632EC6">
      <w:rPr>
        <w:rStyle w:val="PageNumber"/>
      </w:rPr>
      <w:instrText xml:space="preserve">PAGE  </w:instrText>
    </w:r>
    <w:r>
      <w:rPr>
        <w:rStyle w:val="PageNumber"/>
      </w:rPr>
      <w:fldChar w:fldCharType="end"/>
    </w:r>
  </w:p>
  <w:p w14:paraId="0BDF1D05" w14:textId="77777777" w:rsidR="00632EC6" w:rsidRDefault="0063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5720" w14:textId="77777777" w:rsidR="00264AB6" w:rsidRDefault="00264AB6" w:rsidP="007F729C">
      <w:r>
        <w:separator/>
      </w:r>
    </w:p>
  </w:footnote>
  <w:footnote w:type="continuationSeparator" w:id="0">
    <w:p w14:paraId="0E533D14" w14:textId="77777777" w:rsidR="00264AB6" w:rsidRDefault="00264AB6" w:rsidP="007F7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42D"/>
    <w:multiLevelType w:val="hybridMultilevel"/>
    <w:tmpl w:val="F7BEE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86942"/>
    <w:multiLevelType w:val="hybridMultilevel"/>
    <w:tmpl w:val="591E6F4E"/>
    <w:lvl w:ilvl="0" w:tplc="711A62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1523F"/>
    <w:multiLevelType w:val="multilevel"/>
    <w:tmpl w:val="BFC6B1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684B13"/>
    <w:multiLevelType w:val="hybridMultilevel"/>
    <w:tmpl w:val="A2B6C7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EA0D88"/>
    <w:multiLevelType w:val="hybridMultilevel"/>
    <w:tmpl w:val="13F27E6E"/>
    <w:lvl w:ilvl="0" w:tplc="E70A2000">
      <w:numFmt w:val="bullet"/>
      <w:lvlText w:val="-"/>
      <w:lvlJc w:val="left"/>
      <w:pPr>
        <w:ind w:left="1080" w:hanging="360"/>
      </w:pPr>
      <w:rPr>
        <w:rFonts w:ascii="Trebuchet MS" w:eastAsia="Calibr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E29AE"/>
    <w:multiLevelType w:val="hybridMultilevel"/>
    <w:tmpl w:val="FF62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57F9F"/>
    <w:multiLevelType w:val="hybridMultilevel"/>
    <w:tmpl w:val="DD409474"/>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DED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77149B"/>
    <w:multiLevelType w:val="hybridMultilevel"/>
    <w:tmpl w:val="88164A9A"/>
    <w:lvl w:ilvl="0" w:tplc="22A2101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5444CC"/>
    <w:multiLevelType w:val="hybridMultilevel"/>
    <w:tmpl w:val="E8CA3DFA"/>
    <w:lvl w:ilvl="0" w:tplc="0418000F">
      <w:start w:val="2"/>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86681C8">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9B0028F"/>
    <w:multiLevelType w:val="hybridMultilevel"/>
    <w:tmpl w:val="C23623C2"/>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BE7E6B"/>
    <w:multiLevelType w:val="hybridMultilevel"/>
    <w:tmpl w:val="677EC2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65571"/>
    <w:multiLevelType w:val="hybridMultilevel"/>
    <w:tmpl w:val="BCEC5048"/>
    <w:lvl w:ilvl="0" w:tplc="C902CF92">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B0C0164"/>
    <w:multiLevelType w:val="hybridMultilevel"/>
    <w:tmpl w:val="25FE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313E8"/>
    <w:multiLevelType w:val="hybridMultilevel"/>
    <w:tmpl w:val="AEB250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1D533D"/>
    <w:multiLevelType w:val="hybridMultilevel"/>
    <w:tmpl w:val="E4F4DFE8"/>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6F44C0"/>
    <w:multiLevelType w:val="hybridMultilevel"/>
    <w:tmpl w:val="F606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A2CA5"/>
    <w:multiLevelType w:val="hybridMultilevel"/>
    <w:tmpl w:val="9FF055E2"/>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03565D"/>
    <w:multiLevelType w:val="hybridMultilevel"/>
    <w:tmpl w:val="E674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17330"/>
    <w:multiLevelType w:val="multilevel"/>
    <w:tmpl w:val="59DA717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E403E1E"/>
    <w:multiLevelType w:val="hybridMultilevel"/>
    <w:tmpl w:val="6A1A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7365C"/>
    <w:multiLevelType w:val="multilevel"/>
    <w:tmpl w:val="368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A491D"/>
    <w:multiLevelType w:val="hybridMultilevel"/>
    <w:tmpl w:val="5D60C5C8"/>
    <w:lvl w:ilvl="0" w:tplc="08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5126557F"/>
    <w:multiLevelType w:val="multilevel"/>
    <w:tmpl w:val="5CB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E03AB"/>
    <w:multiLevelType w:val="hybridMultilevel"/>
    <w:tmpl w:val="DF6A9B8E"/>
    <w:lvl w:ilvl="0" w:tplc="1778BECA">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52879"/>
    <w:multiLevelType w:val="hybridMultilevel"/>
    <w:tmpl w:val="D10AFB90"/>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172AF9"/>
    <w:multiLevelType w:val="hybridMultilevel"/>
    <w:tmpl w:val="02CCC930"/>
    <w:lvl w:ilvl="0" w:tplc="086681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B7F72F7"/>
    <w:multiLevelType w:val="hybridMultilevel"/>
    <w:tmpl w:val="09C05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D7763BA"/>
    <w:multiLevelType w:val="multilevel"/>
    <w:tmpl w:val="3BE2A6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3E6ECD"/>
    <w:multiLevelType w:val="hybridMultilevel"/>
    <w:tmpl w:val="0A3014B4"/>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EE5A57"/>
    <w:multiLevelType w:val="hybridMultilevel"/>
    <w:tmpl w:val="F9BC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411ED"/>
    <w:multiLevelType w:val="multilevel"/>
    <w:tmpl w:val="B75CE45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3415B77"/>
    <w:multiLevelType w:val="hybridMultilevel"/>
    <w:tmpl w:val="78E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835DF"/>
    <w:multiLevelType w:val="hybridMultilevel"/>
    <w:tmpl w:val="F622FD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7E54CA6"/>
    <w:multiLevelType w:val="hybridMultilevel"/>
    <w:tmpl w:val="73924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1219299">
    <w:abstractNumId w:val="15"/>
  </w:num>
  <w:num w:numId="2" w16cid:durableId="661665403">
    <w:abstractNumId w:val="17"/>
  </w:num>
  <w:num w:numId="3" w16cid:durableId="1920408635">
    <w:abstractNumId w:val="10"/>
  </w:num>
  <w:num w:numId="4" w16cid:durableId="27875587">
    <w:abstractNumId w:val="6"/>
  </w:num>
  <w:num w:numId="5" w16cid:durableId="1893034210">
    <w:abstractNumId w:val="29"/>
  </w:num>
  <w:num w:numId="6" w16cid:durableId="421075373">
    <w:abstractNumId w:val="25"/>
  </w:num>
  <w:num w:numId="7" w16cid:durableId="836960282">
    <w:abstractNumId w:val="9"/>
  </w:num>
  <w:num w:numId="8" w16cid:durableId="2134639548">
    <w:abstractNumId w:val="1"/>
  </w:num>
  <w:num w:numId="9" w16cid:durableId="1437171589">
    <w:abstractNumId w:val="2"/>
  </w:num>
  <w:num w:numId="10" w16cid:durableId="1855999806">
    <w:abstractNumId w:val="33"/>
  </w:num>
  <w:num w:numId="11" w16cid:durableId="17587788">
    <w:abstractNumId w:val="27"/>
  </w:num>
  <w:num w:numId="12" w16cid:durableId="135991934">
    <w:abstractNumId w:val="26"/>
  </w:num>
  <w:num w:numId="13" w16cid:durableId="572592587">
    <w:abstractNumId w:val="19"/>
  </w:num>
  <w:num w:numId="14" w16cid:durableId="496842437">
    <w:abstractNumId w:val="28"/>
  </w:num>
  <w:num w:numId="15" w16cid:durableId="907962889">
    <w:abstractNumId w:val="31"/>
  </w:num>
  <w:num w:numId="16" w16cid:durableId="1067220519">
    <w:abstractNumId w:val="21"/>
  </w:num>
  <w:num w:numId="17" w16cid:durableId="778181301">
    <w:abstractNumId w:val="23"/>
  </w:num>
  <w:num w:numId="18" w16cid:durableId="1591235750">
    <w:abstractNumId w:val="8"/>
  </w:num>
  <w:num w:numId="19" w16cid:durableId="1873685545">
    <w:abstractNumId w:val="24"/>
  </w:num>
  <w:num w:numId="20" w16cid:durableId="989021369">
    <w:abstractNumId w:val="3"/>
  </w:num>
  <w:num w:numId="21" w16cid:durableId="1372682134">
    <w:abstractNumId w:val="20"/>
  </w:num>
  <w:num w:numId="22" w16cid:durableId="477377127">
    <w:abstractNumId w:val="4"/>
  </w:num>
  <w:num w:numId="23" w16cid:durableId="995763107">
    <w:abstractNumId w:val="12"/>
  </w:num>
  <w:num w:numId="24" w16cid:durableId="941691314">
    <w:abstractNumId w:val="7"/>
  </w:num>
  <w:num w:numId="25" w16cid:durableId="662898257">
    <w:abstractNumId w:val="30"/>
  </w:num>
  <w:num w:numId="26" w16cid:durableId="2102137747">
    <w:abstractNumId w:val="5"/>
  </w:num>
  <w:num w:numId="27" w16cid:durableId="662657649">
    <w:abstractNumId w:val="32"/>
  </w:num>
  <w:num w:numId="28" w16cid:durableId="675307344">
    <w:abstractNumId w:val="13"/>
  </w:num>
  <w:num w:numId="29" w16cid:durableId="1793941438">
    <w:abstractNumId w:val="16"/>
  </w:num>
  <w:num w:numId="30" w16cid:durableId="92433094">
    <w:abstractNumId w:val="0"/>
  </w:num>
  <w:num w:numId="31" w16cid:durableId="2097438118">
    <w:abstractNumId w:val="34"/>
  </w:num>
  <w:num w:numId="32" w16cid:durableId="440731926">
    <w:abstractNumId w:val="14"/>
  </w:num>
  <w:num w:numId="33" w16cid:durableId="1092320232">
    <w:abstractNumId w:val="18"/>
  </w:num>
  <w:num w:numId="34" w16cid:durableId="734200716">
    <w:abstractNumId w:val="22"/>
  </w:num>
  <w:num w:numId="35" w16cid:durableId="36563996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9A"/>
    <w:rsid w:val="000024BE"/>
    <w:rsid w:val="00004B9D"/>
    <w:rsid w:val="00005594"/>
    <w:rsid w:val="00005C2B"/>
    <w:rsid w:val="0000626B"/>
    <w:rsid w:val="000073E4"/>
    <w:rsid w:val="0000791A"/>
    <w:rsid w:val="00010A22"/>
    <w:rsid w:val="000129DC"/>
    <w:rsid w:val="00015092"/>
    <w:rsid w:val="00017E30"/>
    <w:rsid w:val="00020ADF"/>
    <w:rsid w:val="000219EB"/>
    <w:rsid w:val="00022D56"/>
    <w:rsid w:val="00024C43"/>
    <w:rsid w:val="00025C3E"/>
    <w:rsid w:val="000267E3"/>
    <w:rsid w:val="00030860"/>
    <w:rsid w:val="000320C1"/>
    <w:rsid w:val="00033A5C"/>
    <w:rsid w:val="00034EF4"/>
    <w:rsid w:val="00034FDF"/>
    <w:rsid w:val="00036068"/>
    <w:rsid w:val="0003662D"/>
    <w:rsid w:val="0003707E"/>
    <w:rsid w:val="000372EE"/>
    <w:rsid w:val="00037B6B"/>
    <w:rsid w:val="00037D32"/>
    <w:rsid w:val="00041110"/>
    <w:rsid w:val="00042CA0"/>
    <w:rsid w:val="00042D87"/>
    <w:rsid w:val="000457C0"/>
    <w:rsid w:val="00047751"/>
    <w:rsid w:val="000515AA"/>
    <w:rsid w:val="00052A97"/>
    <w:rsid w:val="000556C0"/>
    <w:rsid w:val="00056D4F"/>
    <w:rsid w:val="00064CF3"/>
    <w:rsid w:val="00065166"/>
    <w:rsid w:val="00066CBD"/>
    <w:rsid w:val="00067D27"/>
    <w:rsid w:val="00067DC8"/>
    <w:rsid w:val="00073783"/>
    <w:rsid w:val="00074BC9"/>
    <w:rsid w:val="00076386"/>
    <w:rsid w:val="000800B1"/>
    <w:rsid w:val="00080687"/>
    <w:rsid w:val="00081210"/>
    <w:rsid w:val="00081BBE"/>
    <w:rsid w:val="00082743"/>
    <w:rsid w:val="00082E92"/>
    <w:rsid w:val="00083C5B"/>
    <w:rsid w:val="000840CF"/>
    <w:rsid w:val="00084C14"/>
    <w:rsid w:val="00090588"/>
    <w:rsid w:val="000928FD"/>
    <w:rsid w:val="000929AC"/>
    <w:rsid w:val="0009336C"/>
    <w:rsid w:val="00093DC0"/>
    <w:rsid w:val="000942E2"/>
    <w:rsid w:val="000947CE"/>
    <w:rsid w:val="0009484B"/>
    <w:rsid w:val="0009603D"/>
    <w:rsid w:val="00096AB9"/>
    <w:rsid w:val="00096FFA"/>
    <w:rsid w:val="000A07AC"/>
    <w:rsid w:val="000A0AAB"/>
    <w:rsid w:val="000A1053"/>
    <w:rsid w:val="000A38CA"/>
    <w:rsid w:val="000A3F26"/>
    <w:rsid w:val="000A45A4"/>
    <w:rsid w:val="000B0C2B"/>
    <w:rsid w:val="000B266A"/>
    <w:rsid w:val="000B34BB"/>
    <w:rsid w:val="000B3F6A"/>
    <w:rsid w:val="000B46D4"/>
    <w:rsid w:val="000B49B7"/>
    <w:rsid w:val="000B618E"/>
    <w:rsid w:val="000B6825"/>
    <w:rsid w:val="000B7FC8"/>
    <w:rsid w:val="000C11D4"/>
    <w:rsid w:val="000C14DA"/>
    <w:rsid w:val="000C1CFC"/>
    <w:rsid w:val="000C495E"/>
    <w:rsid w:val="000C4983"/>
    <w:rsid w:val="000C4A93"/>
    <w:rsid w:val="000C6983"/>
    <w:rsid w:val="000C6DFC"/>
    <w:rsid w:val="000C79AA"/>
    <w:rsid w:val="000D04DB"/>
    <w:rsid w:val="000D231A"/>
    <w:rsid w:val="000D2C03"/>
    <w:rsid w:val="000D2DD6"/>
    <w:rsid w:val="000D5046"/>
    <w:rsid w:val="000D6CE6"/>
    <w:rsid w:val="000D7879"/>
    <w:rsid w:val="000D7BE9"/>
    <w:rsid w:val="000E0A15"/>
    <w:rsid w:val="000E0BA5"/>
    <w:rsid w:val="000E19EA"/>
    <w:rsid w:val="000E2BEB"/>
    <w:rsid w:val="000E3170"/>
    <w:rsid w:val="000E362A"/>
    <w:rsid w:val="000E5618"/>
    <w:rsid w:val="000E58BB"/>
    <w:rsid w:val="000E7053"/>
    <w:rsid w:val="000F1574"/>
    <w:rsid w:val="000F1FFC"/>
    <w:rsid w:val="000F27F5"/>
    <w:rsid w:val="000F346D"/>
    <w:rsid w:val="000F45B4"/>
    <w:rsid w:val="000F5224"/>
    <w:rsid w:val="000F5E28"/>
    <w:rsid w:val="00100F5B"/>
    <w:rsid w:val="00101533"/>
    <w:rsid w:val="00101957"/>
    <w:rsid w:val="0010396F"/>
    <w:rsid w:val="00103A15"/>
    <w:rsid w:val="00103EF1"/>
    <w:rsid w:val="00107CC4"/>
    <w:rsid w:val="0011021C"/>
    <w:rsid w:val="00111D2A"/>
    <w:rsid w:val="00112B51"/>
    <w:rsid w:val="001146C7"/>
    <w:rsid w:val="00114DCF"/>
    <w:rsid w:val="00115CB5"/>
    <w:rsid w:val="00116108"/>
    <w:rsid w:val="0012106F"/>
    <w:rsid w:val="001213E9"/>
    <w:rsid w:val="00121FD4"/>
    <w:rsid w:val="0012204D"/>
    <w:rsid w:val="00122E25"/>
    <w:rsid w:val="0012489E"/>
    <w:rsid w:val="0013243C"/>
    <w:rsid w:val="00134DC3"/>
    <w:rsid w:val="00140E76"/>
    <w:rsid w:val="0014225D"/>
    <w:rsid w:val="001441EA"/>
    <w:rsid w:val="0014626F"/>
    <w:rsid w:val="00146299"/>
    <w:rsid w:val="001514A6"/>
    <w:rsid w:val="00152614"/>
    <w:rsid w:val="00152A2A"/>
    <w:rsid w:val="00154A68"/>
    <w:rsid w:val="00156217"/>
    <w:rsid w:val="00156829"/>
    <w:rsid w:val="001571BF"/>
    <w:rsid w:val="001614C6"/>
    <w:rsid w:val="00164BB6"/>
    <w:rsid w:val="001662C2"/>
    <w:rsid w:val="001707B0"/>
    <w:rsid w:val="001715CA"/>
    <w:rsid w:val="0017497A"/>
    <w:rsid w:val="001754BF"/>
    <w:rsid w:val="00175AAF"/>
    <w:rsid w:val="00175C9D"/>
    <w:rsid w:val="0017602B"/>
    <w:rsid w:val="001762DA"/>
    <w:rsid w:val="001766B5"/>
    <w:rsid w:val="00176ECE"/>
    <w:rsid w:val="0017705A"/>
    <w:rsid w:val="00180172"/>
    <w:rsid w:val="00180AE9"/>
    <w:rsid w:val="00182B75"/>
    <w:rsid w:val="00183CAF"/>
    <w:rsid w:val="00184BA5"/>
    <w:rsid w:val="00185345"/>
    <w:rsid w:val="00185AA2"/>
    <w:rsid w:val="00187BB0"/>
    <w:rsid w:val="00190655"/>
    <w:rsid w:val="00191245"/>
    <w:rsid w:val="00192570"/>
    <w:rsid w:val="00197F9D"/>
    <w:rsid w:val="001A094C"/>
    <w:rsid w:val="001A1BB5"/>
    <w:rsid w:val="001A2989"/>
    <w:rsid w:val="001A4AAD"/>
    <w:rsid w:val="001A6D36"/>
    <w:rsid w:val="001A716D"/>
    <w:rsid w:val="001B39F7"/>
    <w:rsid w:val="001B3AA7"/>
    <w:rsid w:val="001B4BF8"/>
    <w:rsid w:val="001B5450"/>
    <w:rsid w:val="001C1BB3"/>
    <w:rsid w:val="001C35E6"/>
    <w:rsid w:val="001C36E0"/>
    <w:rsid w:val="001C5155"/>
    <w:rsid w:val="001C5CAE"/>
    <w:rsid w:val="001C6040"/>
    <w:rsid w:val="001D0B69"/>
    <w:rsid w:val="001D131A"/>
    <w:rsid w:val="001D1981"/>
    <w:rsid w:val="001D2EA5"/>
    <w:rsid w:val="001D520F"/>
    <w:rsid w:val="001D585E"/>
    <w:rsid w:val="001D65EE"/>
    <w:rsid w:val="001D6FC4"/>
    <w:rsid w:val="001E2F96"/>
    <w:rsid w:val="001E4EA0"/>
    <w:rsid w:val="001E56B4"/>
    <w:rsid w:val="001E7596"/>
    <w:rsid w:val="001F1642"/>
    <w:rsid w:val="001F1826"/>
    <w:rsid w:val="001F1BAE"/>
    <w:rsid w:val="00200525"/>
    <w:rsid w:val="00200B5C"/>
    <w:rsid w:val="002017FE"/>
    <w:rsid w:val="00202559"/>
    <w:rsid w:val="00203968"/>
    <w:rsid w:val="0020495B"/>
    <w:rsid w:val="00204D41"/>
    <w:rsid w:val="00205C91"/>
    <w:rsid w:val="00205F42"/>
    <w:rsid w:val="00206CC6"/>
    <w:rsid w:val="002076A1"/>
    <w:rsid w:val="002101C9"/>
    <w:rsid w:val="0021029B"/>
    <w:rsid w:val="00211681"/>
    <w:rsid w:val="00211A85"/>
    <w:rsid w:val="002122BC"/>
    <w:rsid w:val="002124A2"/>
    <w:rsid w:val="00212B56"/>
    <w:rsid w:val="00213F25"/>
    <w:rsid w:val="002146D4"/>
    <w:rsid w:val="0021496C"/>
    <w:rsid w:val="00216FB8"/>
    <w:rsid w:val="00217856"/>
    <w:rsid w:val="002200C6"/>
    <w:rsid w:val="0022196E"/>
    <w:rsid w:val="00222885"/>
    <w:rsid w:val="00222A84"/>
    <w:rsid w:val="00222C7A"/>
    <w:rsid w:val="00223B0A"/>
    <w:rsid w:val="0022427E"/>
    <w:rsid w:val="0022452B"/>
    <w:rsid w:val="002264FF"/>
    <w:rsid w:val="00226EF2"/>
    <w:rsid w:val="002310CB"/>
    <w:rsid w:val="00233222"/>
    <w:rsid w:val="00234BC0"/>
    <w:rsid w:val="00236753"/>
    <w:rsid w:val="00237549"/>
    <w:rsid w:val="002421D8"/>
    <w:rsid w:val="00242E61"/>
    <w:rsid w:val="00246404"/>
    <w:rsid w:val="0024706F"/>
    <w:rsid w:val="00247495"/>
    <w:rsid w:val="00247B14"/>
    <w:rsid w:val="002506E6"/>
    <w:rsid w:val="0025131C"/>
    <w:rsid w:val="0025190E"/>
    <w:rsid w:val="00251FAE"/>
    <w:rsid w:val="00252D26"/>
    <w:rsid w:val="00254ACD"/>
    <w:rsid w:val="0025555E"/>
    <w:rsid w:val="00255565"/>
    <w:rsid w:val="0025692B"/>
    <w:rsid w:val="0025728C"/>
    <w:rsid w:val="00257B03"/>
    <w:rsid w:val="00257F96"/>
    <w:rsid w:val="0026070D"/>
    <w:rsid w:val="00261714"/>
    <w:rsid w:val="00261DD7"/>
    <w:rsid w:val="00262119"/>
    <w:rsid w:val="002622BE"/>
    <w:rsid w:val="00262CD7"/>
    <w:rsid w:val="00262F1E"/>
    <w:rsid w:val="00263413"/>
    <w:rsid w:val="0026375B"/>
    <w:rsid w:val="0026457D"/>
    <w:rsid w:val="00264AB6"/>
    <w:rsid w:val="002656DB"/>
    <w:rsid w:val="00266C14"/>
    <w:rsid w:val="00267E2B"/>
    <w:rsid w:val="00270664"/>
    <w:rsid w:val="00271AFA"/>
    <w:rsid w:val="00277178"/>
    <w:rsid w:val="00277421"/>
    <w:rsid w:val="002801D6"/>
    <w:rsid w:val="00280315"/>
    <w:rsid w:val="0028035B"/>
    <w:rsid w:val="00280A65"/>
    <w:rsid w:val="0028161F"/>
    <w:rsid w:val="002838E7"/>
    <w:rsid w:val="00283949"/>
    <w:rsid w:val="00284124"/>
    <w:rsid w:val="00284932"/>
    <w:rsid w:val="002861CE"/>
    <w:rsid w:val="002868C1"/>
    <w:rsid w:val="00286B9A"/>
    <w:rsid w:val="0028769D"/>
    <w:rsid w:val="0029187D"/>
    <w:rsid w:val="00291D05"/>
    <w:rsid w:val="002921EE"/>
    <w:rsid w:val="0029245A"/>
    <w:rsid w:val="00292FD7"/>
    <w:rsid w:val="002931D7"/>
    <w:rsid w:val="002933D5"/>
    <w:rsid w:val="00293979"/>
    <w:rsid w:val="002954B4"/>
    <w:rsid w:val="00296FE6"/>
    <w:rsid w:val="002A0461"/>
    <w:rsid w:val="002A425E"/>
    <w:rsid w:val="002A59B9"/>
    <w:rsid w:val="002A6414"/>
    <w:rsid w:val="002A777D"/>
    <w:rsid w:val="002A7CD0"/>
    <w:rsid w:val="002A7D73"/>
    <w:rsid w:val="002B0121"/>
    <w:rsid w:val="002B0703"/>
    <w:rsid w:val="002B2AC9"/>
    <w:rsid w:val="002B3D23"/>
    <w:rsid w:val="002B440D"/>
    <w:rsid w:val="002B48AF"/>
    <w:rsid w:val="002B6DBD"/>
    <w:rsid w:val="002B7145"/>
    <w:rsid w:val="002B791F"/>
    <w:rsid w:val="002B7A1F"/>
    <w:rsid w:val="002C4115"/>
    <w:rsid w:val="002C4915"/>
    <w:rsid w:val="002C4DCC"/>
    <w:rsid w:val="002C5523"/>
    <w:rsid w:val="002D06D5"/>
    <w:rsid w:val="002D0A3B"/>
    <w:rsid w:val="002D1C0A"/>
    <w:rsid w:val="002D3D70"/>
    <w:rsid w:val="002D5CEB"/>
    <w:rsid w:val="002D7BB3"/>
    <w:rsid w:val="002D7FCF"/>
    <w:rsid w:val="002E35B0"/>
    <w:rsid w:val="002E4ADB"/>
    <w:rsid w:val="002E5A74"/>
    <w:rsid w:val="002F0A92"/>
    <w:rsid w:val="002F0C4F"/>
    <w:rsid w:val="002F1471"/>
    <w:rsid w:val="002F4D87"/>
    <w:rsid w:val="002F5682"/>
    <w:rsid w:val="002F6144"/>
    <w:rsid w:val="00300A1F"/>
    <w:rsid w:val="00300BBA"/>
    <w:rsid w:val="00300BE8"/>
    <w:rsid w:val="003015C1"/>
    <w:rsid w:val="00302410"/>
    <w:rsid w:val="00302F2A"/>
    <w:rsid w:val="00303E42"/>
    <w:rsid w:val="0030458C"/>
    <w:rsid w:val="0030489F"/>
    <w:rsid w:val="00304FB2"/>
    <w:rsid w:val="003064E7"/>
    <w:rsid w:val="00313365"/>
    <w:rsid w:val="003153A7"/>
    <w:rsid w:val="00315B81"/>
    <w:rsid w:val="00317747"/>
    <w:rsid w:val="003210BD"/>
    <w:rsid w:val="003212EF"/>
    <w:rsid w:val="00321A4C"/>
    <w:rsid w:val="003238E1"/>
    <w:rsid w:val="003243DE"/>
    <w:rsid w:val="00324C53"/>
    <w:rsid w:val="00325750"/>
    <w:rsid w:val="00325C2B"/>
    <w:rsid w:val="00327D7A"/>
    <w:rsid w:val="00327F37"/>
    <w:rsid w:val="003300ED"/>
    <w:rsid w:val="00330378"/>
    <w:rsid w:val="003303E7"/>
    <w:rsid w:val="00331975"/>
    <w:rsid w:val="00331B3E"/>
    <w:rsid w:val="003323D3"/>
    <w:rsid w:val="0033571E"/>
    <w:rsid w:val="003363AC"/>
    <w:rsid w:val="00336C38"/>
    <w:rsid w:val="00340545"/>
    <w:rsid w:val="003406C4"/>
    <w:rsid w:val="003419C2"/>
    <w:rsid w:val="00341D84"/>
    <w:rsid w:val="00341E76"/>
    <w:rsid w:val="00342179"/>
    <w:rsid w:val="003438B9"/>
    <w:rsid w:val="00343AEC"/>
    <w:rsid w:val="00344714"/>
    <w:rsid w:val="00345350"/>
    <w:rsid w:val="00345C3A"/>
    <w:rsid w:val="00346D99"/>
    <w:rsid w:val="00347CA9"/>
    <w:rsid w:val="00350C3E"/>
    <w:rsid w:val="00350CC5"/>
    <w:rsid w:val="0035119F"/>
    <w:rsid w:val="003513A3"/>
    <w:rsid w:val="003537F6"/>
    <w:rsid w:val="003555AD"/>
    <w:rsid w:val="0035738F"/>
    <w:rsid w:val="0035760E"/>
    <w:rsid w:val="00360C36"/>
    <w:rsid w:val="003619F2"/>
    <w:rsid w:val="003629AB"/>
    <w:rsid w:val="00364D73"/>
    <w:rsid w:val="00364EF9"/>
    <w:rsid w:val="00366933"/>
    <w:rsid w:val="003676B2"/>
    <w:rsid w:val="00372CBC"/>
    <w:rsid w:val="00373930"/>
    <w:rsid w:val="00374CBD"/>
    <w:rsid w:val="00375B03"/>
    <w:rsid w:val="0037697C"/>
    <w:rsid w:val="00377F46"/>
    <w:rsid w:val="003847E0"/>
    <w:rsid w:val="00384D29"/>
    <w:rsid w:val="00385FFA"/>
    <w:rsid w:val="00386C6E"/>
    <w:rsid w:val="0039017C"/>
    <w:rsid w:val="00393F25"/>
    <w:rsid w:val="00393F32"/>
    <w:rsid w:val="00394FE5"/>
    <w:rsid w:val="003969F7"/>
    <w:rsid w:val="00396B17"/>
    <w:rsid w:val="00396D86"/>
    <w:rsid w:val="003A126A"/>
    <w:rsid w:val="003A205C"/>
    <w:rsid w:val="003A20A3"/>
    <w:rsid w:val="003A2EC8"/>
    <w:rsid w:val="003A482F"/>
    <w:rsid w:val="003A513A"/>
    <w:rsid w:val="003A5301"/>
    <w:rsid w:val="003A6617"/>
    <w:rsid w:val="003A6D50"/>
    <w:rsid w:val="003A6D8E"/>
    <w:rsid w:val="003A7576"/>
    <w:rsid w:val="003A7771"/>
    <w:rsid w:val="003B2061"/>
    <w:rsid w:val="003B3F69"/>
    <w:rsid w:val="003B4AB1"/>
    <w:rsid w:val="003B547F"/>
    <w:rsid w:val="003B5759"/>
    <w:rsid w:val="003B5ECF"/>
    <w:rsid w:val="003B6A61"/>
    <w:rsid w:val="003C1D4E"/>
    <w:rsid w:val="003C49E8"/>
    <w:rsid w:val="003C5276"/>
    <w:rsid w:val="003C575F"/>
    <w:rsid w:val="003C6148"/>
    <w:rsid w:val="003C65E4"/>
    <w:rsid w:val="003D21F9"/>
    <w:rsid w:val="003D5CF3"/>
    <w:rsid w:val="003D633D"/>
    <w:rsid w:val="003D7E0A"/>
    <w:rsid w:val="003E01C7"/>
    <w:rsid w:val="003E1D77"/>
    <w:rsid w:val="003E33A2"/>
    <w:rsid w:val="003E45D8"/>
    <w:rsid w:val="003E5A49"/>
    <w:rsid w:val="003F2C1F"/>
    <w:rsid w:val="003F2F60"/>
    <w:rsid w:val="003F46D0"/>
    <w:rsid w:val="003F5497"/>
    <w:rsid w:val="003F646C"/>
    <w:rsid w:val="003F69DC"/>
    <w:rsid w:val="003F7791"/>
    <w:rsid w:val="004001A6"/>
    <w:rsid w:val="0040090C"/>
    <w:rsid w:val="00401A52"/>
    <w:rsid w:val="00402411"/>
    <w:rsid w:val="00404F6E"/>
    <w:rsid w:val="0040552F"/>
    <w:rsid w:val="00405B11"/>
    <w:rsid w:val="00405D65"/>
    <w:rsid w:val="004068AE"/>
    <w:rsid w:val="004077B7"/>
    <w:rsid w:val="00407878"/>
    <w:rsid w:val="00407F55"/>
    <w:rsid w:val="00411581"/>
    <w:rsid w:val="00411749"/>
    <w:rsid w:val="004123C5"/>
    <w:rsid w:val="00413EBF"/>
    <w:rsid w:val="004151C7"/>
    <w:rsid w:val="00420081"/>
    <w:rsid w:val="0042139C"/>
    <w:rsid w:val="00422A97"/>
    <w:rsid w:val="00423203"/>
    <w:rsid w:val="00424092"/>
    <w:rsid w:val="00425B8C"/>
    <w:rsid w:val="00426638"/>
    <w:rsid w:val="00427364"/>
    <w:rsid w:val="00427DF0"/>
    <w:rsid w:val="00427F20"/>
    <w:rsid w:val="004304D2"/>
    <w:rsid w:val="004314AC"/>
    <w:rsid w:val="00431A12"/>
    <w:rsid w:val="00433D9D"/>
    <w:rsid w:val="00433F97"/>
    <w:rsid w:val="00434212"/>
    <w:rsid w:val="00434CF7"/>
    <w:rsid w:val="00434D64"/>
    <w:rsid w:val="0044106A"/>
    <w:rsid w:val="00442162"/>
    <w:rsid w:val="004425D0"/>
    <w:rsid w:val="0044353E"/>
    <w:rsid w:val="004438C9"/>
    <w:rsid w:val="00443F41"/>
    <w:rsid w:val="00445375"/>
    <w:rsid w:val="004453F7"/>
    <w:rsid w:val="00445470"/>
    <w:rsid w:val="00445B4D"/>
    <w:rsid w:val="00445C4A"/>
    <w:rsid w:val="00446366"/>
    <w:rsid w:val="0044686C"/>
    <w:rsid w:val="00446C06"/>
    <w:rsid w:val="004470AE"/>
    <w:rsid w:val="004511F7"/>
    <w:rsid w:val="0045126F"/>
    <w:rsid w:val="00451D76"/>
    <w:rsid w:val="004522B0"/>
    <w:rsid w:val="00453EDE"/>
    <w:rsid w:val="00454687"/>
    <w:rsid w:val="00454CDD"/>
    <w:rsid w:val="00454D10"/>
    <w:rsid w:val="00454DB4"/>
    <w:rsid w:val="00455D8D"/>
    <w:rsid w:val="0045782D"/>
    <w:rsid w:val="004607EE"/>
    <w:rsid w:val="004621D3"/>
    <w:rsid w:val="004643CC"/>
    <w:rsid w:val="00466E2E"/>
    <w:rsid w:val="004677AB"/>
    <w:rsid w:val="004703C0"/>
    <w:rsid w:val="004709ED"/>
    <w:rsid w:val="0047282A"/>
    <w:rsid w:val="00472BCF"/>
    <w:rsid w:val="00472FBA"/>
    <w:rsid w:val="004745BE"/>
    <w:rsid w:val="00474AE3"/>
    <w:rsid w:val="00476B5F"/>
    <w:rsid w:val="00477B6D"/>
    <w:rsid w:val="00477EB4"/>
    <w:rsid w:val="00483BEA"/>
    <w:rsid w:val="00483E83"/>
    <w:rsid w:val="00484A0B"/>
    <w:rsid w:val="00484A71"/>
    <w:rsid w:val="00484C03"/>
    <w:rsid w:val="00484CE3"/>
    <w:rsid w:val="00485FE8"/>
    <w:rsid w:val="00486140"/>
    <w:rsid w:val="0048674E"/>
    <w:rsid w:val="00486DF4"/>
    <w:rsid w:val="0048712E"/>
    <w:rsid w:val="0048755F"/>
    <w:rsid w:val="00491101"/>
    <w:rsid w:val="00491855"/>
    <w:rsid w:val="00491A1E"/>
    <w:rsid w:val="00491C2C"/>
    <w:rsid w:val="00492D82"/>
    <w:rsid w:val="00494B64"/>
    <w:rsid w:val="00496956"/>
    <w:rsid w:val="004975E7"/>
    <w:rsid w:val="004A0524"/>
    <w:rsid w:val="004A08EC"/>
    <w:rsid w:val="004A2BCE"/>
    <w:rsid w:val="004A3F63"/>
    <w:rsid w:val="004A516C"/>
    <w:rsid w:val="004A529D"/>
    <w:rsid w:val="004A5A3E"/>
    <w:rsid w:val="004A5A4E"/>
    <w:rsid w:val="004B0AF2"/>
    <w:rsid w:val="004B1A20"/>
    <w:rsid w:val="004B1C53"/>
    <w:rsid w:val="004B2A9A"/>
    <w:rsid w:val="004B3D1F"/>
    <w:rsid w:val="004B5408"/>
    <w:rsid w:val="004B590B"/>
    <w:rsid w:val="004B64FC"/>
    <w:rsid w:val="004B662A"/>
    <w:rsid w:val="004B68F5"/>
    <w:rsid w:val="004B6CF4"/>
    <w:rsid w:val="004B7484"/>
    <w:rsid w:val="004B7BE6"/>
    <w:rsid w:val="004C0469"/>
    <w:rsid w:val="004C0D97"/>
    <w:rsid w:val="004C10A8"/>
    <w:rsid w:val="004C130E"/>
    <w:rsid w:val="004C1841"/>
    <w:rsid w:val="004C29A1"/>
    <w:rsid w:val="004C2BAE"/>
    <w:rsid w:val="004C3EB5"/>
    <w:rsid w:val="004C55E2"/>
    <w:rsid w:val="004D160F"/>
    <w:rsid w:val="004D261A"/>
    <w:rsid w:val="004D433E"/>
    <w:rsid w:val="004D46B6"/>
    <w:rsid w:val="004D5CA3"/>
    <w:rsid w:val="004D5D6B"/>
    <w:rsid w:val="004D5ED7"/>
    <w:rsid w:val="004D6652"/>
    <w:rsid w:val="004E27D2"/>
    <w:rsid w:val="004E2943"/>
    <w:rsid w:val="004E30F8"/>
    <w:rsid w:val="004E55AB"/>
    <w:rsid w:val="004E5727"/>
    <w:rsid w:val="004E5999"/>
    <w:rsid w:val="004E7694"/>
    <w:rsid w:val="004F3D21"/>
    <w:rsid w:val="004F584A"/>
    <w:rsid w:val="004F6B74"/>
    <w:rsid w:val="004F6DC2"/>
    <w:rsid w:val="004F778E"/>
    <w:rsid w:val="00501AC8"/>
    <w:rsid w:val="00502369"/>
    <w:rsid w:val="00502626"/>
    <w:rsid w:val="005029E1"/>
    <w:rsid w:val="00502B0A"/>
    <w:rsid w:val="00502B2A"/>
    <w:rsid w:val="00503222"/>
    <w:rsid w:val="00503D15"/>
    <w:rsid w:val="0050476D"/>
    <w:rsid w:val="005049A2"/>
    <w:rsid w:val="00504A99"/>
    <w:rsid w:val="0050526C"/>
    <w:rsid w:val="00505364"/>
    <w:rsid w:val="00505441"/>
    <w:rsid w:val="00505584"/>
    <w:rsid w:val="005078E7"/>
    <w:rsid w:val="0051032D"/>
    <w:rsid w:val="005108EC"/>
    <w:rsid w:val="00510F80"/>
    <w:rsid w:val="0051300C"/>
    <w:rsid w:val="005139E4"/>
    <w:rsid w:val="00513F0C"/>
    <w:rsid w:val="00514256"/>
    <w:rsid w:val="005155FA"/>
    <w:rsid w:val="0051649E"/>
    <w:rsid w:val="0051689A"/>
    <w:rsid w:val="0052049A"/>
    <w:rsid w:val="005208E3"/>
    <w:rsid w:val="00520B82"/>
    <w:rsid w:val="00523A05"/>
    <w:rsid w:val="00523A0F"/>
    <w:rsid w:val="00523E25"/>
    <w:rsid w:val="00524A11"/>
    <w:rsid w:val="00526B38"/>
    <w:rsid w:val="00527A7B"/>
    <w:rsid w:val="0053110E"/>
    <w:rsid w:val="005318E4"/>
    <w:rsid w:val="00532FB2"/>
    <w:rsid w:val="00534BF0"/>
    <w:rsid w:val="00534EE8"/>
    <w:rsid w:val="0053576D"/>
    <w:rsid w:val="005364B7"/>
    <w:rsid w:val="00536A84"/>
    <w:rsid w:val="00537461"/>
    <w:rsid w:val="00537FD2"/>
    <w:rsid w:val="0054014D"/>
    <w:rsid w:val="00542A74"/>
    <w:rsid w:val="00542CB0"/>
    <w:rsid w:val="00543467"/>
    <w:rsid w:val="0054386C"/>
    <w:rsid w:val="005439DF"/>
    <w:rsid w:val="005441CE"/>
    <w:rsid w:val="00544685"/>
    <w:rsid w:val="00544708"/>
    <w:rsid w:val="0054597D"/>
    <w:rsid w:val="00546D1F"/>
    <w:rsid w:val="00551279"/>
    <w:rsid w:val="005521B9"/>
    <w:rsid w:val="005522DA"/>
    <w:rsid w:val="00552E4B"/>
    <w:rsid w:val="005534B9"/>
    <w:rsid w:val="00553861"/>
    <w:rsid w:val="005566A7"/>
    <w:rsid w:val="00556BA0"/>
    <w:rsid w:val="00561E2A"/>
    <w:rsid w:val="00562A41"/>
    <w:rsid w:val="00563429"/>
    <w:rsid w:val="0056379C"/>
    <w:rsid w:val="005638C7"/>
    <w:rsid w:val="0056441E"/>
    <w:rsid w:val="0056763C"/>
    <w:rsid w:val="00567AA1"/>
    <w:rsid w:val="00570B1A"/>
    <w:rsid w:val="005745E9"/>
    <w:rsid w:val="00574B14"/>
    <w:rsid w:val="00574C64"/>
    <w:rsid w:val="00574C7E"/>
    <w:rsid w:val="00574F7B"/>
    <w:rsid w:val="0057786D"/>
    <w:rsid w:val="00577E56"/>
    <w:rsid w:val="00581DF7"/>
    <w:rsid w:val="005824F5"/>
    <w:rsid w:val="0058384C"/>
    <w:rsid w:val="00583E1B"/>
    <w:rsid w:val="00584230"/>
    <w:rsid w:val="00584307"/>
    <w:rsid w:val="00584B27"/>
    <w:rsid w:val="00585469"/>
    <w:rsid w:val="00585B76"/>
    <w:rsid w:val="00585C66"/>
    <w:rsid w:val="00586E81"/>
    <w:rsid w:val="0058714D"/>
    <w:rsid w:val="00587E16"/>
    <w:rsid w:val="0059007E"/>
    <w:rsid w:val="00590C4E"/>
    <w:rsid w:val="00591A3B"/>
    <w:rsid w:val="00591F04"/>
    <w:rsid w:val="00593768"/>
    <w:rsid w:val="005938D8"/>
    <w:rsid w:val="00595373"/>
    <w:rsid w:val="005957BD"/>
    <w:rsid w:val="0059614A"/>
    <w:rsid w:val="00597A9C"/>
    <w:rsid w:val="00597F6D"/>
    <w:rsid w:val="005A0B04"/>
    <w:rsid w:val="005A333C"/>
    <w:rsid w:val="005A4536"/>
    <w:rsid w:val="005A5BB6"/>
    <w:rsid w:val="005A6F71"/>
    <w:rsid w:val="005B3D67"/>
    <w:rsid w:val="005B43FC"/>
    <w:rsid w:val="005B4629"/>
    <w:rsid w:val="005B5148"/>
    <w:rsid w:val="005B6E6B"/>
    <w:rsid w:val="005B751F"/>
    <w:rsid w:val="005B771B"/>
    <w:rsid w:val="005B7992"/>
    <w:rsid w:val="005C0444"/>
    <w:rsid w:val="005C15B4"/>
    <w:rsid w:val="005C199A"/>
    <w:rsid w:val="005C3C07"/>
    <w:rsid w:val="005C7A75"/>
    <w:rsid w:val="005D0A31"/>
    <w:rsid w:val="005D173B"/>
    <w:rsid w:val="005D1BF6"/>
    <w:rsid w:val="005D3458"/>
    <w:rsid w:val="005D3A55"/>
    <w:rsid w:val="005D3C27"/>
    <w:rsid w:val="005D5F6A"/>
    <w:rsid w:val="005D7CC8"/>
    <w:rsid w:val="005E08BD"/>
    <w:rsid w:val="005E21E3"/>
    <w:rsid w:val="005E3782"/>
    <w:rsid w:val="005E458E"/>
    <w:rsid w:val="005E45B8"/>
    <w:rsid w:val="005E479B"/>
    <w:rsid w:val="005E53BF"/>
    <w:rsid w:val="005F0412"/>
    <w:rsid w:val="005F09C8"/>
    <w:rsid w:val="005F1FE1"/>
    <w:rsid w:val="005F4136"/>
    <w:rsid w:val="005F467E"/>
    <w:rsid w:val="005F521F"/>
    <w:rsid w:val="005F6E71"/>
    <w:rsid w:val="00600EDB"/>
    <w:rsid w:val="00602C2C"/>
    <w:rsid w:val="006062AE"/>
    <w:rsid w:val="006105C7"/>
    <w:rsid w:val="00610E86"/>
    <w:rsid w:val="00612C85"/>
    <w:rsid w:val="006131E6"/>
    <w:rsid w:val="006139C5"/>
    <w:rsid w:val="00613B7E"/>
    <w:rsid w:val="0061621C"/>
    <w:rsid w:val="006168D4"/>
    <w:rsid w:val="00617902"/>
    <w:rsid w:val="006200D3"/>
    <w:rsid w:val="006203DE"/>
    <w:rsid w:val="0062046F"/>
    <w:rsid w:val="00620DC2"/>
    <w:rsid w:val="00621086"/>
    <w:rsid w:val="0062298D"/>
    <w:rsid w:val="0062421E"/>
    <w:rsid w:val="00625645"/>
    <w:rsid w:val="00626486"/>
    <w:rsid w:val="006303DD"/>
    <w:rsid w:val="00630B16"/>
    <w:rsid w:val="006313AF"/>
    <w:rsid w:val="00632EC6"/>
    <w:rsid w:val="00633575"/>
    <w:rsid w:val="006340A2"/>
    <w:rsid w:val="00644B3C"/>
    <w:rsid w:val="006459C1"/>
    <w:rsid w:val="00647097"/>
    <w:rsid w:val="0064791F"/>
    <w:rsid w:val="00647C07"/>
    <w:rsid w:val="0065027C"/>
    <w:rsid w:val="006507BD"/>
    <w:rsid w:val="006509A8"/>
    <w:rsid w:val="00653B25"/>
    <w:rsid w:val="00654036"/>
    <w:rsid w:val="006557F7"/>
    <w:rsid w:val="00656A38"/>
    <w:rsid w:val="006572C1"/>
    <w:rsid w:val="00657BF1"/>
    <w:rsid w:val="00657DFC"/>
    <w:rsid w:val="00661313"/>
    <w:rsid w:val="006614E3"/>
    <w:rsid w:val="00663740"/>
    <w:rsid w:val="006656DF"/>
    <w:rsid w:val="00666AEE"/>
    <w:rsid w:val="00667E67"/>
    <w:rsid w:val="00670267"/>
    <w:rsid w:val="00670860"/>
    <w:rsid w:val="00671DFC"/>
    <w:rsid w:val="0067238B"/>
    <w:rsid w:val="0067239F"/>
    <w:rsid w:val="00673F73"/>
    <w:rsid w:val="00674F93"/>
    <w:rsid w:val="006759EB"/>
    <w:rsid w:val="00675A63"/>
    <w:rsid w:val="006764DE"/>
    <w:rsid w:val="00676A08"/>
    <w:rsid w:val="00676D9A"/>
    <w:rsid w:val="0067775A"/>
    <w:rsid w:val="006802E7"/>
    <w:rsid w:val="0068108E"/>
    <w:rsid w:val="006810A0"/>
    <w:rsid w:val="00681F2F"/>
    <w:rsid w:val="00681FBF"/>
    <w:rsid w:val="0068317F"/>
    <w:rsid w:val="00684D66"/>
    <w:rsid w:val="00684E85"/>
    <w:rsid w:val="006876A7"/>
    <w:rsid w:val="00687972"/>
    <w:rsid w:val="00690BEB"/>
    <w:rsid w:val="00691C07"/>
    <w:rsid w:val="006925E4"/>
    <w:rsid w:val="006926DB"/>
    <w:rsid w:val="006927AE"/>
    <w:rsid w:val="006961B5"/>
    <w:rsid w:val="00696B81"/>
    <w:rsid w:val="006972B2"/>
    <w:rsid w:val="006974C7"/>
    <w:rsid w:val="006A1A0C"/>
    <w:rsid w:val="006A2EB0"/>
    <w:rsid w:val="006A561C"/>
    <w:rsid w:val="006A586D"/>
    <w:rsid w:val="006A601A"/>
    <w:rsid w:val="006A6C40"/>
    <w:rsid w:val="006B005D"/>
    <w:rsid w:val="006B245B"/>
    <w:rsid w:val="006B317B"/>
    <w:rsid w:val="006B4B5D"/>
    <w:rsid w:val="006B555C"/>
    <w:rsid w:val="006B5963"/>
    <w:rsid w:val="006B65E6"/>
    <w:rsid w:val="006C585D"/>
    <w:rsid w:val="006C6991"/>
    <w:rsid w:val="006D066C"/>
    <w:rsid w:val="006D27EE"/>
    <w:rsid w:val="006D3025"/>
    <w:rsid w:val="006D38DE"/>
    <w:rsid w:val="006D4041"/>
    <w:rsid w:val="006D4FAA"/>
    <w:rsid w:val="006D6D84"/>
    <w:rsid w:val="006D70DB"/>
    <w:rsid w:val="006D75A4"/>
    <w:rsid w:val="006D7BAD"/>
    <w:rsid w:val="006E0347"/>
    <w:rsid w:val="006E2189"/>
    <w:rsid w:val="006E2B83"/>
    <w:rsid w:val="006E3D9E"/>
    <w:rsid w:val="006E3EE5"/>
    <w:rsid w:val="006E4978"/>
    <w:rsid w:val="006E65DB"/>
    <w:rsid w:val="006E68D5"/>
    <w:rsid w:val="006F02B2"/>
    <w:rsid w:val="006F0765"/>
    <w:rsid w:val="006F1E4B"/>
    <w:rsid w:val="006F3CBC"/>
    <w:rsid w:val="006F4DED"/>
    <w:rsid w:val="006F4F9A"/>
    <w:rsid w:val="006F743B"/>
    <w:rsid w:val="006F7F90"/>
    <w:rsid w:val="00702399"/>
    <w:rsid w:val="007025FF"/>
    <w:rsid w:val="00702891"/>
    <w:rsid w:val="00702D27"/>
    <w:rsid w:val="00702FA5"/>
    <w:rsid w:val="00703B84"/>
    <w:rsid w:val="00704BCB"/>
    <w:rsid w:val="007050BC"/>
    <w:rsid w:val="0070735A"/>
    <w:rsid w:val="00707C3F"/>
    <w:rsid w:val="007109ED"/>
    <w:rsid w:val="007117DD"/>
    <w:rsid w:val="007127BB"/>
    <w:rsid w:val="00713628"/>
    <w:rsid w:val="007174BC"/>
    <w:rsid w:val="0071791B"/>
    <w:rsid w:val="0072305B"/>
    <w:rsid w:val="00724CCF"/>
    <w:rsid w:val="0072519A"/>
    <w:rsid w:val="007257B8"/>
    <w:rsid w:val="007266C2"/>
    <w:rsid w:val="0072728A"/>
    <w:rsid w:val="00727FF8"/>
    <w:rsid w:val="0073232C"/>
    <w:rsid w:val="007323E6"/>
    <w:rsid w:val="00732BC8"/>
    <w:rsid w:val="00732FD5"/>
    <w:rsid w:val="007332F7"/>
    <w:rsid w:val="00734042"/>
    <w:rsid w:val="00734820"/>
    <w:rsid w:val="00734ADA"/>
    <w:rsid w:val="00734AF4"/>
    <w:rsid w:val="00734D93"/>
    <w:rsid w:val="007355EB"/>
    <w:rsid w:val="0073642B"/>
    <w:rsid w:val="00736ADD"/>
    <w:rsid w:val="00736B40"/>
    <w:rsid w:val="00736F3F"/>
    <w:rsid w:val="00737D08"/>
    <w:rsid w:val="00740A77"/>
    <w:rsid w:val="0074113D"/>
    <w:rsid w:val="0074118A"/>
    <w:rsid w:val="00742AF5"/>
    <w:rsid w:val="00742C61"/>
    <w:rsid w:val="00743D35"/>
    <w:rsid w:val="00744757"/>
    <w:rsid w:val="007449B7"/>
    <w:rsid w:val="00747075"/>
    <w:rsid w:val="0074730F"/>
    <w:rsid w:val="00750D87"/>
    <w:rsid w:val="0075413E"/>
    <w:rsid w:val="00754356"/>
    <w:rsid w:val="00755517"/>
    <w:rsid w:val="00755A48"/>
    <w:rsid w:val="00757FDB"/>
    <w:rsid w:val="00760ABD"/>
    <w:rsid w:val="007628B9"/>
    <w:rsid w:val="007631DD"/>
    <w:rsid w:val="00763244"/>
    <w:rsid w:val="00764ADE"/>
    <w:rsid w:val="007670A5"/>
    <w:rsid w:val="007726D9"/>
    <w:rsid w:val="00775813"/>
    <w:rsid w:val="00775B8F"/>
    <w:rsid w:val="0078155A"/>
    <w:rsid w:val="00782B04"/>
    <w:rsid w:val="007830B0"/>
    <w:rsid w:val="00783DBE"/>
    <w:rsid w:val="0078665A"/>
    <w:rsid w:val="007868B3"/>
    <w:rsid w:val="007875A4"/>
    <w:rsid w:val="00787BCD"/>
    <w:rsid w:val="007904D5"/>
    <w:rsid w:val="007907BE"/>
    <w:rsid w:val="00793B57"/>
    <w:rsid w:val="00795E10"/>
    <w:rsid w:val="0079607F"/>
    <w:rsid w:val="007976AB"/>
    <w:rsid w:val="00797ADA"/>
    <w:rsid w:val="007A2AF4"/>
    <w:rsid w:val="007A363E"/>
    <w:rsid w:val="007A371F"/>
    <w:rsid w:val="007A4B15"/>
    <w:rsid w:val="007B00C9"/>
    <w:rsid w:val="007B39EE"/>
    <w:rsid w:val="007B4F7B"/>
    <w:rsid w:val="007B565D"/>
    <w:rsid w:val="007B78AB"/>
    <w:rsid w:val="007B7CDA"/>
    <w:rsid w:val="007B7D25"/>
    <w:rsid w:val="007C0DF9"/>
    <w:rsid w:val="007C15B4"/>
    <w:rsid w:val="007C2DFA"/>
    <w:rsid w:val="007C5119"/>
    <w:rsid w:val="007C52DA"/>
    <w:rsid w:val="007C5E8C"/>
    <w:rsid w:val="007C5F3D"/>
    <w:rsid w:val="007C6D9C"/>
    <w:rsid w:val="007D07B7"/>
    <w:rsid w:val="007D0A2A"/>
    <w:rsid w:val="007D2872"/>
    <w:rsid w:val="007D428C"/>
    <w:rsid w:val="007D50A3"/>
    <w:rsid w:val="007D72F1"/>
    <w:rsid w:val="007E1D6B"/>
    <w:rsid w:val="007E25DA"/>
    <w:rsid w:val="007E2908"/>
    <w:rsid w:val="007E3506"/>
    <w:rsid w:val="007E3EAC"/>
    <w:rsid w:val="007E603C"/>
    <w:rsid w:val="007F01CC"/>
    <w:rsid w:val="007F1533"/>
    <w:rsid w:val="007F1778"/>
    <w:rsid w:val="007F2182"/>
    <w:rsid w:val="007F3778"/>
    <w:rsid w:val="007F627B"/>
    <w:rsid w:val="007F6BCE"/>
    <w:rsid w:val="007F729C"/>
    <w:rsid w:val="007F7BC1"/>
    <w:rsid w:val="0080123C"/>
    <w:rsid w:val="008018DC"/>
    <w:rsid w:val="00801EE8"/>
    <w:rsid w:val="00802AB7"/>
    <w:rsid w:val="00802FAC"/>
    <w:rsid w:val="00803775"/>
    <w:rsid w:val="0080389D"/>
    <w:rsid w:val="0080401C"/>
    <w:rsid w:val="00804844"/>
    <w:rsid w:val="008049CA"/>
    <w:rsid w:val="00805E15"/>
    <w:rsid w:val="008127E1"/>
    <w:rsid w:val="008129B0"/>
    <w:rsid w:val="00815A15"/>
    <w:rsid w:val="00816B48"/>
    <w:rsid w:val="0081731B"/>
    <w:rsid w:val="00817352"/>
    <w:rsid w:val="008174CB"/>
    <w:rsid w:val="008175EE"/>
    <w:rsid w:val="00817AAF"/>
    <w:rsid w:val="00817CE9"/>
    <w:rsid w:val="008201D2"/>
    <w:rsid w:val="00821501"/>
    <w:rsid w:val="0082209C"/>
    <w:rsid w:val="008236F9"/>
    <w:rsid w:val="0082575A"/>
    <w:rsid w:val="00825895"/>
    <w:rsid w:val="00825BE5"/>
    <w:rsid w:val="00825D82"/>
    <w:rsid w:val="00827952"/>
    <w:rsid w:val="0083087A"/>
    <w:rsid w:val="00831379"/>
    <w:rsid w:val="00832D81"/>
    <w:rsid w:val="008350FD"/>
    <w:rsid w:val="0083586D"/>
    <w:rsid w:val="00836354"/>
    <w:rsid w:val="00836C74"/>
    <w:rsid w:val="00836E53"/>
    <w:rsid w:val="00840FB1"/>
    <w:rsid w:val="00841329"/>
    <w:rsid w:val="008424DD"/>
    <w:rsid w:val="00845EEE"/>
    <w:rsid w:val="00846558"/>
    <w:rsid w:val="008468E4"/>
    <w:rsid w:val="00846A49"/>
    <w:rsid w:val="00851784"/>
    <w:rsid w:val="00852CDD"/>
    <w:rsid w:val="00854328"/>
    <w:rsid w:val="008558E0"/>
    <w:rsid w:val="008559A9"/>
    <w:rsid w:val="008571CF"/>
    <w:rsid w:val="00857BB3"/>
    <w:rsid w:val="008600A9"/>
    <w:rsid w:val="00862B79"/>
    <w:rsid w:val="008633E9"/>
    <w:rsid w:val="008659E7"/>
    <w:rsid w:val="00866732"/>
    <w:rsid w:val="00867939"/>
    <w:rsid w:val="0087022F"/>
    <w:rsid w:val="0087134B"/>
    <w:rsid w:val="0087488F"/>
    <w:rsid w:val="0087724E"/>
    <w:rsid w:val="0088066F"/>
    <w:rsid w:val="0088197A"/>
    <w:rsid w:val="0088237D"/>
    <w:rsid w:val="008829A8"/>
    <w:rsid w:val="00882D3B"/>
    <w:rsid w:val="00882E22"/>
    <w:rsid w:val="00882F2E"/>
    <w:rsid w:val="00883401"/>
    <w:rsid w:val="00884245"/>
    <w:rsid w:val="00884341"/>
    <w:rsid w:val="00886723"/>
    <w:rsid w:val="0088772C"/>
    <w:rsid w:val="008879D8"/>
    <w:rsid w:val="00887EE0"/>
    <w:rsid w:val="00890C4B"/>
    <w:rsid w:val="00891CF1"/>
    <w:rsid w:val="00894505"/>
    <w:rsid w:val="00896E77"/>
    <w:rsid w:val="008A11AA"/>
    <w:rsid w:val="008A17FE"/>
    <w:rsid w:val="008A1F67"/>
    <w:rsid w:val="008A3164"/>
    <w:rsid w:val="008A45DF"/>
    <w:rsid w:val="008A47AE"/>
    <w:rsid w:val="008A729E"/>
    <w:rsid w:val="008B05A0"/>
    <w:rsid w:val="008B2442"/>
    <w:rsid w:val="008B45C0"/>
    <w:rsid w:val="008B6F34"/>
    <w:rsid w:val="008B78EA"/>
    <w:rsid w:val="008C2B3A"/>
    <w:rsid w:val="008C37D1"/>
    <w:rsid w:val="008C4BD0"/>
    <w:rsid w:val="008C6CC4"/>
    <w:rsid w:val="008C74CE"/>
    <w:rsid w:val="008C765B"/>
    <w:rsid w:val="008C7B9C"/>
    <w:rsid w:val="008D2224"/>
    <w:rsid w:val="008D278F"/>
    <w:rsid w:val="008D2B42"/>
    <w:rsid w:val="008D3D1B"/>
    <w:rsid w:val="008D4FB7"/>
    <w:rsid w:val="008D652B"/>
    <w:rsid w:val="008E08FF"/>
    <w:rsid w:val="008E0C62"/>
    <w:rsid w:val="008E2060"/>
    <w:rsid w:val="008E32A8"/>
    <w:rsid w:val="008E3D80"/>
    <w:rsid w:val="008E40BB"/>
    <w:rsid w:val="008E73C7"/>
    <w:rsid w:val="008F0CD1"/>
    <w:rsid w:val="008F30EA"/>
    <w:rsid w:val="008F36C3"/>
    <w:rsid w:val="008F7318"/>
    <w:rsid w:val="009002FD"/>
    <w:rsid w:val="0090131E"/>
    <w:rsid w:val="009014BF"/>
    <w:rsid w:val="009018AB"/>
    <w:rsid w:val="0090280B"/>
    <w:rsid w:val="00903CEF"/>
    <w:rsid w:val="009067BD"/>
    <w:rsid w:val="00906CE1"/>
    <w:rsid w:val="00910E70"/>
    <w:rsid w:val="00911BC6"/>
    <w:rsid w:val="00911D78"/>
    <w:rsid w:val="00912FD1"/>
    <w:rsid w:val="00913043"/>
    <w:rsid w:val="009137D1"/>
    <w:rsid w:val="00913978"/>
    <w:rsid w:val="00914B06"/>
    <w:rsid w:val="00914D66"/>
    <w:rsid w:val="00914F1B"/>
    <w:rsid w:val="00915EAB"/>
    <w:rsid w:val="00916490"/>
    <w:rsid w:val="0092284F"/>
    <w:rsid w:val="00924B2B"/>
    <w:rsid w:val="00930602"/>
    <w:rsid w:val="009314DD"/>
    <w:rsid w:val="00931B01"/>
    <w:rsid w:val="009340BE"/>
    <w:rsid w:val="009344C3"/>
    <w:rsid w:val="0093637E"/>
    <w:rsid w:val="00936C16"/>
    <w:rsid w:val="00937149"/>
    <w:rsid w:val="009403BF"/>
    <w:rsid w:val="00941B67"/>
    <w:rsid w:val="00943340"/>
    <w:rsid w:val="00943D2B"/>
    <w:rsid w:val="0094429C"/>
    <w:rsid w:val="009455A9"/>
    <w:rsid w:val="00946146"/>
    <w:rsid w:val="00946FC6"/>
    <w:rsid w:val="0094702C"/>
    <w:rsid w:val="0094714D"/>
    <w:rsid w:val="00947D63"/>
    <w:rsid w:val="00947FB6"/>
    <w:rsid w:val="009501C4"/>
    <w:rsid w:val="00950C34"/>
    <w:rsid w:val="009541CB"/>
    <w:rsid w:val="009558CC"/>
    <w:rsid w:val="00955AE3"/>
    <w:rsid w:val="00960C51"/>
    <w:rsid w:val="00962076"/>
    <w:rsid w:val="00963417"/>
    <w:rsid w:val="00964A0A"/>
    <w:rsid w:val="009654EF"/>
    <w:rsid w:val="00966895"/>
    <w:rsid w:val="00967460"/>
    <w:rsid w:val="00967704"/>
    <w:rsid w:val="009752ED"/>
    <w:rsid w:val="00975E7A"/>
    <w:rsid w:val="00976120"/>
    <w:rsid w:val="00976660"/>
    <w:rsid w:val="00976E59"/>
    <w:rsid w:val="009804CC"/>
    <w:rsid w:val="009837A4"/>
    <w:rsid w:val="00984100"/>
    <w:rsid w:val="00990A84"/>
    <w:rsid w:val="009910A8"/>
    <w:rsid w:val="0099310E"/>
    <w:rsid w:val="009937A1"/>
    <w:rsid w:val="00993A84"/>
    <w:rsid w:val="0099529F"/>
    <w:rsid w:val="00995703"/>
    <w:rsid w:val="0099678D"/>
    <w:rsid w:val="00997610"/>
    <w:rsid w:val="009A0727"/>
    <w:rsid w:val="009A14A5"/>
    <w:rsid w:val="009A15F3"/>
    <w:rsid w:val="009A3E23"/>
    <w:rsid w:val="009A4CA6"/>
    <w:rsid w:val="009A4D62"/>
    <w:rsid w:val="009A599B"/>
    <w:rsid w:val="009A65A5"/>
    <w:rsid w:val="009A70B5"/>
    <w:rsid w:val="009B069F"/>
    <w:rsid w:val="009B43E9"/>
    <w:rsid w:val="009B5229"/>
    <w:rsid w:val="009B5B8A"/>
    <w:rsid w:val="009B7F01"/>
    <w:rsid w:val="009C1F19"/>
    <w:rsid w:val="009C1F86"/>
    <w:rsid w:val="009C473C"/>
    <w:rsid w:val="009C51DE"/>
    <w:rsid w:val="009C5BA2"/>
    <w:rsid w:val="009C6788"/>
    <w:rsid w:val="009D08F6"/>
    <w:rsid w:val="009D0987"/>
    <w:rsid w:val="009D383C"/>
    <w:rsid w:val="009D4D7C"/>
    <w:rsid w:val="009D4FFB"/>
    <w:rsid w:val="009D6E48"/>
    <w:rsid w:val="009D78A2"/>
    <w:rsid w:val="009E01E5"/>
    <w:rsid w:val="009E0CBB"/>
    <w:rsid w:val="009E2E3E"/>
    <w:rsid w:val="009E6466"/>
    <w:rsid w:val="009E6781"/>
    <w:rsid w:val="009E6957"/>
    <w:rsid w:val="009E73EF"/>
    <w:rsid w:val="009E7DCE"/>
    <w:rsid w:val="009F337C"/>
    <w:rsid w:val="00A00179"/>
    <w:rsid w:val="00A00652"/>
    <w:rsid w:val="00A02152"/>
    <w:rsid w:val="00A02BA8"/>
    <w:rsid w:val="00A02D3F"/>
    <w:rsid w:val="00A03B11"/>
    <w:rsid w:val="00A043B8"/>
    <w:rsid w:val="00A04CB3"/>
    <w:rsid w:val="00A05026"/>
    <w:rsid w:val="00A052A4"/>
    <w:rsid w:val="00A05DD8"/>
    <w:rsid w:val="00A1209C"/>
    <w:rsid w:val="00A12DFF"/>
    <w:rsid w:val="00A1324D"/>
    <w:rsid w:val="00A1463A"/>
    <w:rsid w:val="00A14B07"/>
    <w:rsid w:val="00A151EA"/>
    <w:rsid w:val="00A168C0"/>
    <w:rsid w:val="00A17D53"/>
    <w:rsid w:val="00A21D39"/>
    <w:rsid w:val="00A2201D"/>
    <w:rsid w:val="00A22BB9"/>
    <w:rsid w:val="00A24586"/>
    <w:rsid w:val="00A25280"/>
    <w:rsid w:val="00A269AF"/>
    <w:rsid w:val="00A269D8"/>
    <w:rsid w:val="00A26BA4"/>
    <w:rsid w:val="00A27681"/>
    <w:rsid w:val="00A30A9A"/>
    <w:rsid w:val="00A3224D"/>
    <w:rsid w:val="00A33581"/>
    <w:rsid w:val="00A37604"/>
    <w:rsid w:val="00A37C55"/>
    <w:rsid w:val="00A42184"/>
    <w:rsid w:val="00A44C2E"/>
    <w:rsid w:val="00A466E3"/>
    <w:rsid w:val="00A4679E"/>
    <w:rsid w:val="00A47931"/>
    <w:rsid w:val="00A50681"/>
    <w:rsid w:val="00A508BC"/>
    <w:rsid w:val="00A52A79"/>
    <w:rsid w:val="00A54F68"/>
    <w:rsid w:val="00A5632F"/>
    <w:rsid w:val="00A56CD1"/>
    <w:rsid w:val="00A615C8"/>
    <w:rsid w:val="00A6259F"/>
    <w:rsid w:val="00A63770"/>
    <w:rsid w:val="00A6423D"/>
    <w:rsid w:val="00A65407"/>
    <w:rsid w:val="00A66229"/>
    <w:rsid w:val="00A662AE"/>
    <w:rsid w:val="00A67569"/>
    <w:rsid w:val="00A70829"/>
    <w:rsid w:val="00A70E6F"/>
    <w:rsid w:val="00A72148"/>
    <w:rsid w:val="00A740C9"/>
    <w:rsid w:val="00A757B1"/>
    <w:rsid w:val="00A76501"/>
    <w:rsid w:val="00A77E09"/>
    <w:rsid w:val="00A81D0D"/>
    <w:rsid w:val="00A81D16"/>
    <w:rsid w:val="00A83633"/>
    <w:rsid w:val="00A83895"/>
    <w:rsid w:val="00A8474A"/>
    <w:rsid w:val="00A9153A"/>
    <w:rsid w:val="00A91ACC"/>
    <w:rsid w:val="00A92856"/>
    <w:rsid w:val="00A94AB3"/>
    <w:rsid w:val="00A94ED2"/>
    <w:rsid w:val="00A95533"/>
    <w:rsid w:val="00A95B88"/>
    <w:rsid w:val="00A96CD6"/>
    <w:rsid w:val="00AA0CBF"/>
    <w:rsid w:val="00AA1C81"/>
    <w:rsid w:val="00AA3893"/>
    <w:rsid w:val="00AB03A5"/>
    <w:rsid w:val="00AB0BC6"/>
    <w:rsid w:val="00AB1096"/>
    <w:rsid w:val="00AB30AA"/>
    <w:rsid w:val="00AB3842"/>
    <w:rsid w:val="00AB409B"/>
    <w:rsid w:val="00AB4AC6"/>
    <w:rsid w:val="00AB4DA2"/>
    <w:rsid w:val="00AB4E63"/>
    <w:rsid w:val="00AB5F3C"/>
    <w:rsid w:val="00AB65FA"/>
    <w:rsid w:val="00AB78EA"/>
    <w:rsid w:val="00AB7917"/>
    <w:rsid w:val="00AC00B1"/>
    <w:rsid w:val="00AC0E36"/>
    <w:rsid w:val="00AC147F"/>
    <w:rsid w:val="00AC235E"/>
    <w:rsid w:val="00AC2E8E"/>
    <w:rsid w:val="00AC37DD"/>
    <w:rsid w:val="00AC41E1"/>
    <w:rsid w:val="00AC5AFF"/>
    <w:rsid w:val="00AC680B"/>
    <w:rsid w:val="00AC6CE3"/>
    <w:rsid w:val="00AC6E5C"/>
    <w:rsid w:val="00AD194D"/>
    <w:rsid w:val="00AD26D4"/>
    <w:rsid w:val="00AD376A"/>
    <w:rsid w:val="00AD3AE9"/>
    <w:rsid w:val="00AD5948"/>
    <w:rsid w:val="00AD6AF9"/>
    <w:rsid w:val="00AD75A0"/>
    <w:rsid w:val="00AD78F0"/>
    <w:rsid w:val="00AE0478"/>
    <w:rsid w:val="00AE0D9A"/>
    <w:rsid w:val="00AE1D8C"/>
    <w:rsid w:val="00AE338C"/>
    <w:rsid w:val="00AE4177"/>
    <w:rsid w:val="00AE44B1"/>
    <w:rsid w:val="00AE6170"/>
    <w:rsid w:val="00AE7E17"/>
    <w:rsid w:val="00AF096B"/>
    <w:rsid w:val="00AF31E9"/>
    <w:rsid w:val="00AF4C3F"/>
    <w:rsid w:val="00AF6565"/>
    <w:rsid w:val="00AF74A8"/>
    <w:rsid w:val="00B019D2"/>
    <w:rsid w:val="00B01CA0"/>
    <w:rsid w:val="00B028DF"/>
    <w:rsid w:val="00B02EE3"/>
    <w:rsid w:val="00B0443C"/>
    <w:rsid w:val="00B05F52"/>
    <w:rsid w:val="00B06209"/>
    <w:rsid w:val="00B0641D"/>
    <w:rsid w:val="00B1171E"/>
    <w:rsid w:val="00B12640"/>
    <w:rsid w:val="00B131EB"/>
    <w:rsid w:val="00B13B98"/>
    <w:rsid w:val="00B16748"/>
    <w:rsid w:val="00B1796A"/>
    <w:rsid w:val="00B21532"/>
    <w:rsid w:val="00B223AD"/>
    <w:rsid w:val="00B23AA5"/>
    <w:rsid w:val="00B23CB7"/>
    <w:rsid w:val="00B2681A"/>
    <w:rsid w:val="00B277A4"/>
    <w:rsid w:val="00B30B0E"/>
    <w:rsid w:val="00B31821"/>
    <w:rsid w:val="00B32175"/>
    <w:rsid w:val="00B33E70"/>
    <w:rsid w:val="00B36AF5"/>
    <w:rsid w:val="00B40FC7"/>
    <w:rsid w:val="00B4107A"/>
    <w:rsid w:val="00B4255A"/>
    <w:rsid w:val="00B43A09"/>
    <w:rsid w:val="00B43E54"/>
    <w:rsid w:val="00B457D7"/>
    <w:rsid w:val="00B45D27"/>
    <w:rsid w:val="00B5081E"/>
    <w:rsid w:val="00B509AE"/>
    <w:rsid w:val="00B51751"/>
    <w:rsid w:val="00B53CBA"/>
    <w:rsid w:val="00B542BA"/>
    <w:rsid w:val="00B54449"/>
    <w:rsid w:val="00B563E6"/>
    <w:rsid w:val="00B60907"/>
    <w:rsid w:val="00B610A3"/>
    <w:rsid w:val="00B61158"/>
    <w:rsid w:val="00B61552"/>
    <w:rsid w:val="00B6343C"/>
    <w:rsid w:val="00B642E2"/>
    <w:rsid w:val="00B656D9"/>
    <w:rsid w:val="00B65D97"/>
    <w:rsid w:val="00B67A6E"/>
    <w:rsid w:val="00B7363E"/>
    <w:rsid w:val="00B73891"/>
    <w:rsid w:val="00B74EA1"/>
    <w:rsid w:val="00B76EC6"/>
    <w:rsid w:val="00B77B13"/>
    <w:rsid w:val="00B77F9E"/>
    <w:rsid w:val="00B82FE1"/>
    <w:rsid w:val="00B846CF"/>
    <w:rsid w:val="00B85159"/>
    <w:rsid w:val="00B852D7"/>
    <w:rsid w:val="00B90C71"/>
    <w:rsid w:val="00B91414"/>
    <w:rsid w:val="00B91BA0"/>
    <w:rsid w:val="00B92045"/>
    <w:rsid w:val="00B9330E"/>
    <w:rsid w:val="00B9473F"/>
    <w:rsid w:val="00B95D93"/>
    <w:rsid w:val="00B96DA5"/>
    <w:rsid w:val="00BA044C"/>
    <w:rsid w:val="00BA2715"/>
    <w:rsid w:val="00BA28F8"/>
    <w:rsid w:val="00BA56C2"/>
    <w:rsid w:val="00BA7250"/>
    <w:rsid w:val="00BA77E9"/>
    <w:rsid w:val="00BA7B75"/>
    <w:rsid w:val="00BB1126"/>
    <w:rsid w:val="00BB1234"/>
    <w:rsid w:val="00BB2078"/>
    <w:rsid w:val="00BB22B5"/>
    <w:rsid w:val="00BB2FE6"/>
    <w:rsid w:val="00BB6DD4"/>
    <w:rsid w:val="00BB6FD3"/>
    <w:rsid w:val="00BC0F47"/>
    <w:rsid w:val="00BC2513"/>
    <w:rsid w:val="00BC4ACD"/>
    <w:rsid w:val="00BC6F9E"/>
    <w:rsid w:val="00BC7797"/>
    <w:rsid w:val="00BC7B7E"/>
    <w:rsid w:val="00BD0ED5"/>
    <w:rsid w:val="00BD28F7"/>
    <w:rsid w:val="00BD3126"/>
    <w:rsid w:val="00BD3C7F"/>
    <w:rsid w:val="00BD4338"/>
    <w:rsid w:val="00BD5427"/>
    <w:rsid w:val="00BD609C"/>
    <w:rsid w:val="00BD69DD"/>
    <w:rsid w:val="00BE0170"/>
    <w:rsid w:val="00BE5B0B"/>
    <w:rsid w:val="00BF15EE"/>
    <w:rsid w:val="00BF38EF"/>
    <w:rsid w:val="00BF61BD"/>
    <w:rsid w:val="00C019F0"/>
    <w:rsid w:val="00C023AD"/>
    <w:rsid w:val="00C040D8"/>
    <w:rsid w:val="00C047C1"/>
    <w:rsid w:val="00C120B9"/>
    <w:rsid w:val="00C121A8"/>
    <w:rsid w:val="00C14005"/>
    <w:rsid w:val="00C1575E"/>
    <w:rsid w:val="00C1745A"/>
    <w:rsid w:val="00C20A4C"/>
    <w:rsid w:val="00C20AD5"/>
    <w:rsid w:val="00C26697"/>
    <w:rsid w:val="00C274C5"/>
    <w:rsid w:val="00C27CD0"/>
    <w:rsid w:val="00C27E88"/>
    <w:rsid w:val="00C32426"/>
    <w:rsid w:val="00C34F62"/>
    <w:rsid w:val="00C357A8"/>
    <w:rsid w:val="00C36299"/>
    <w:rsid w:val="00C364C7"/>
    <w:rsid w:val="00C40577"/>
    <w:rsid w:val="00C41F89"/>
    <w:rsid w:val="00C435B7"/>
    <w:rsid w:val="00C43B46"/>
    <w:rsid w:val="00C43E54"/>
    <w:rsid w:val="00C43F78"/>
    <w:rsid w:val="00C44353"/>
    <w:rsid w:val="00C46AD1"/>
    <w:rsid w:val="00C46C21"/>
    <w:rsid w:val="00C46E3D"/>
    <w:rsid w:val="00C4751C"/>
    <w:rsid w:val="00C50274"/>
    <w:rsid w:val="00C51465"/>
    <w:rsid w:val="00C53400"/>
    <w:rsid w:val="00C5383D"/>
    <w:rsid w:val="00C5463A"/>
    <w:rsid w:val="00C5473A"/>
    <w:rsid w:val="00C549A5"/>
    <w:rsid w:val="00C56DAD"/>
    <w:rsid w:val="00C579C0"/>
    <w:rsid w:val="00C602DF"/>
    <w:rsid w:val="00C60C06"/>
    <w:rsid w:val="00C61D24"/>
    <w:rsid w:val="00C6202C"/>
    <w:rsid w:val="00C66364"/>
    <w:rsid w:val="00C677A0"/>
    <w:rsid w:val="00C67EC9"/>
    <w:rsid w:val="00C70BDC"/>
    <w:rsid w:val="00C749A4"/>
    <w:rsid w:val="00C74F53"/>
    <w:rsid w:val="00C76AFA"/>
    <w:rsid w:val="00C77C0C"/>
    <w:rsid w:val="00C80022"/>
    <w:rsid w:val="00C83190"/>
    <w:rsid w:val="00C85B37"/>
    <w:rsid w:val="00C90063"/>
    <w:rsid w:val="00C90F21"/>
    <w:rsid w:val="00C92717"/>
    <w:rsid w:val="00C92740"/>
    <w:rsid w:val="00C93972"/>
    <w:rsid w:val="00CA021E"/>
    <w:rsid w:val="00CA1B64"/>
    <w:rsid w:val="00CA2A62"/>
    <w:rsid w:val="00CA3308"/>
    <w:rsid w:val="00CA3595"/>
    <w:rsid w:val="00CA3B1B"/>
    <w:rsid w:val="00CA6AF9"/>
    <w:rsid w:val="00CA7959"/>
    <w:rsid w:val="00CA79AE"/>
    <w:rsid w:val="00CB1196"/>
    <w:rsid w:val="00CB1501"/>
    <w:rsid w:val="00CB37FF"/>
    <w:rsid w:val="00CB42A6"/>
    <w:rsid w:val="00CB43DB"/>
    <w:rsid w:val="00CB4BAA"/>
    <w:rsid w:val="00CB4E04"/>
    <w:rsid w:val="00CB52E1"/>
    <w:rsid w:val="00CB6D4D"/>
    <w:rsid w:val="00CB7780"/>
    <w:rsid w:val="00CB797B"/>
    <w:rsid w:val="00CC09F0"/>
    <w:rsid w:val="00CC0ED1"/>
    <w:rsid w:val="00CC13D3"/>
    <w:rsid w:val="00CD1861"/>
    <w:rsid w:val="00CD3256"/>
    <w:rsid w:val="00CD389E"/>
    <w:rsid w:val="00CD632F"/>
    <w:rsid w:val="00CE1EC0"/>
    <w:rsid w:val="00CE2725"/>
    <w:rsid w:val="00CE3F64"/>
    <w:rsid w:val="00CE56CE"/>
    <w:rsid w:val="00CE5DD8"/>
    <w:rsid w:val="00CE7234"/>
    <w:rsid w:val="00CF35DB"/>
    <w:rsid w:val="00CF3F00"/>
    <w:rsid w:val="00CF3F17"/>
    <w:rsid w:val="00CF5099"/>
    <w:rsid w:val="00CF5163"/>
    <w:rsid w:val="00D0191B"/>
    <w:rsid w:val="00D03959"/>
    <w:rsid w:val="00D03BE7"/>
    <w:rsid w:val="00D047E1"/>
    <w:rsid w:val="00D052CC"/>
    <w:rsid w:val="00D05C9B"/>
    <w:rsid w:val="00D05CF2"/>
    <w:rsid w:val="00D06F9E"/>
    <w:rsid w:val="00D105D8"/>
    <w:rsid w:val="00D10DE9"/>
    <w:rsid w:val="00D136E0"/>
    <w:rsid w:val="00D15B9D"/>
    <w:rsid w:val="00D21FCB"/>
    <w:rsid w:val="00D2270F"/>
    <w:rsid w:val="00D27015"/>
    <w:rsid w:val="00D27DD3"/>
    <w:rsid w:val="00D31EA6"/>
    <w:rsid w:val="00D322CF"/>
    <w:rsid w:val="00D339D0"/>
    <w:rsid w:val="00D35557"/>
    <w:rsid w:val="00D36775"/>
    <w:rsid w:val="00D37AC3"/>
    <w:rsid w:val="00D40E98"/>
    <w:rsid w:val="00D46F1C"/>
    <w:rsid w:val="00D47C58"/>
    <w:rsid w:val="00D50F97"/>
    <w:rsid w:val="00D51CE4"/>
    <w:rsid w:val="00D51F7D"/>
    <w:rsid w:val="00D52806"/>
    <w:rsid w:val="00D52E1C"/>
    <w:rsid w:val="00D52F87"/>
    <w:rsid w:val="00D5392B"/>
    <w:rsid w:val="00D549C1"/>
    <w:rsid w:val="00D55608"/>
    <w:rsid w:val="00D57677"/>
    <w:rsid w:val="00D57881"/>
    <w:rsid w:val="00D6013F"/>
    <w:rsid w:val="00D6040A"/>
    <w:rsid w:val="00D61344"/>
    <w:rsid w:val="00D63726"/>
    <w:rsid w:val="00D65642"/>
    <w:rsid w:val="00D65735"/>
    <w:rsid w:val="00D65B16"/>
    <w:rsid w:val="00D66331"/>
    <w:rsid w:val="00D66AD9"/>
    <w:rsid w:val="00D676BB"/>
    <w:rsid w:val="00D70095"/>
    <w:rsid w:val="00D708F1"/>
    <w:rsid w:val="00D7140A"/>
    <w:rsid w:val="00D72243"/>
    <w:rsid w:val="00D7272D"/>
    <w:rsid w:val="00D734D9"/>
    <w:rsid w:val="00D73E74"/>
    <w:rsid w:val="00D75331"/>
    <w:rsid w:val="00D75398"/>
    <w:rsid w:val="00D765D3"/>
    <w:rsid w:val="00D766D4"/>
    <w:rsid w:val="00D76A9F"/>
    <w:rsid w:val="00D779A5"/>
    <w:rsid w:val="00D81F8D"/>
    <w:rsid w:val="00D82098"/>
    <w:rsid w:val="00D82B80"/>
    <w:rsid w:val="00D83385"/>
    <w:rsid w:val="00D8474D"/>
    <w:rsid w:val="00D84E8B"/>
    <w:rsid w:val="00D873AF"/>
    <w:rsid w:val="00D87AE1"/>
    <w:rsid w:val="00D901D1"/>
    <w:rsid w:val="00D90CB0"/>
    <w:rsid w:val="00D9100C"/>
    <w:rsid w:val="00D9204C"/>
    <w:rsid w:val="00D92A78"/>
    <w:rsid w:val="00D939E8"/>
    <w:rsid w:val="00D95DE3"/>
    <w:rsid w:val="00D97C89"/>
    <w:rsid w:val="00DA0393"/>
    <w:rsid w:val="00DA06C7"/>
    <w:rsid w:val="00DA07D6"/>
    <w:rsid w:val="00DA37DF"/>
    <w:rsid w:val="00DA5004"/>
    <w:rsid w:val="00DA67C6"/>
    <w:rsid w:val="00DA6E40"/>
    <w:rsid w:val="00DB0BAB"/>
    <w:rsid w:val="00DB0EE4"/>
    <w:rsid w:val="00DB3E0C"/>
    <w:rsid w:val="00DB516A"/>
    <w:rsid w:val="00DC2E76"/>
    <w:rsid w:val="00DC3557"/>
    <w:rsid w:val="00DC365E"/>
    <w:rsid w:val="00DC4E58"/>
    <w:rsid w:val="00DC6ACB"/>
    <w:rsid w:val="00DC7FAE"/>
    <w:rsid w:val="00DD01AE"/>
    <w:rsid w:val="00DD06D9"/>
    <w:rsid w:val="00DD0882"/>
    <w:rsid w:val="00DD1785"/>
    <w:rsid w:val="00DD1D91"/>
    <w:rsid w:val="00DD3D25"/>
    <w:rsid w:val="00DD43E5"/>
    <w:rsid w:val="00DD4C51"/>
    <w:rsid w:val="00DD6EAA"/>
    <w:rsid w:val="00DE0180"/>
    <w:rsid w:val="00DE4DD0"/>
    <w:rsid w:val="00DE5FE7"/>
    <w:rsid w:val="00DF12A9"/>
    <w:rsid w:val="00DF135E"/>
    <w:rsid w:val="00DF1BF1"/>
    <w:rsid w:val="00DF1CD2"/>
    <w:rsid w:val="00DF5764"/>
    <w:rsid w:val="00DF6576"/>
    <w:rsid w:val="00DF6B3A"/>
    <w:rsid w:val="00DF7053"/>
    <w:rsid w:val="00E00399"/>
    <w:rsid w:val="00E00C42"/>
    <w:rsid w:val="00E02137"/>
    <w:rsid w:val="00E021B7"/>
    <w:rsid w:val="00E024E2"/>
    <w:rsid w:val="00E03C0A"/>
    <w:rsid w:val="00E03F4D"/>
    <w:rsid w:val="00E04E7C"/>
    <w:rsid w:val="00E06001"/>
    <w:rsid w:val="00E102CD"/>
    <w:rsid w:val="00E108BF"/>
    <w:rsid w:val="00E1192E"/>
    <w:rsid w:val="00E122CD"/>
    <w:rsid w:val="00E12AAB"/>
    <w:rsid w:val="00E139FF"/>
    <w:rsid w:val="00E1404F"/>
    <w:rsid w:val="00E14BE4"/>
    <w:rsid w:val="00E157CB"/>
    <w:rsid w:val="00E21981"/>
    <w:rsid w:val="00E22C5B"/>
    <w:rsid w:val="00E244A9"/>
    <w:rsid w:val="00E248E9"/>
    <w:rsid w:val="00E27222"/>
    <w:rsid w:val="00E27FD3"/>
    <w:rsid w:val="00E30476"/>
    <w:rsid w:val="00E30CF4"/>
    <w:rsid w:val="00E31289"/>
    <w:rsid w:val="00E3231C"/>
    <w:rsid w:val="00E32A20"/>
    <w:rsid w:val="00E32C44"/>
    <w:rsid w:val="00E35E0B"/>
    <w:rsid w:val="00E36E66"/>
    <w:rsid w:val="00E40D39"/>
    <w:rsid w:val="00E424EF"/>
    <w:rsid w:val="00E4486D"/>
    <w:rsid w:val="00E45BB4"/>
    <w:rsid w:val="00E4632A"/>
    <w:rsid w:val="00E501F8"/>
    <w:rsid w:val="00E50EB8"/>
    <w:rsid w:val="00E52012"/>
    <w:rsid w:val="00E546AD"/>
    <w:rsid w:val="00E5519B"/>
    <w:rsid w:val="00E560EF"/>
    <w:rsid w:val="00E57C31"/>
    <w:rsid w:val="00E6099F"/>
    <w:rsid w:val="00E61217"/>
    <w:rsid w:val="00E6124E"/>
    <w:rsid w:val="00E62A4A"/>
    <w:rsid w:val="00E62F61"/>
    <w:rsid w:val="00E6312A"/>
    <w:rsid w:val="00E6417D"/>
    <w:rsid w:val="00E67F07"/>
    <w:rsid w:val="00E70544"/>
    <w:rsid w:val="00E70AB8"/>
    <w:rsid w:val="00E7140D"/>
    <w:rsid w:val="00E72AC8"/>
    <w:rsid w:val="00E72BDD"/>
    <w:rsid w:val="00E73C1D"/>
    <w:rsid w:val="00E73DAB"/>
    <w:rsid w:val="00E74F1E"/>
    <w:rsid w:val="00E76387"/>
    <w:rsid w:val="00E819EF"/>
    <w:rsid w:val="00E84FFC"/>
    <w:rsid w:val="00E85ED2"/>
    <w:rsid w:val="00E8600A"/>
    <w:rsid w:val="00E90326"/>
    <w:rsid w:val="00E93B8A"/>
    <w:rsid w:val="00E9575C"/>
    <w:rsid w:val="00E96D58"/>
    <w:rsid w:val="00E97B09"/>
    <w:rsid w:val="00EA09E0"/>
    <w:rsid w:val="00EA1BB5"/>
    <w:rsid w:val="00EA1F77"/>
    <w:rsid w:val="00EA22D1"/>
    <w:rsid w:val="00EA3939"/>
    <w:rsid w:val="00EA3C40"/>
    <w:rsid w:val="00EA475F"/>
    <w:rsid w:val="00EA548D"/>
    <w:rsid w:val="00EA5758"/>
    <w:rsid w:val="00EA5765"/>
    <w:rsid w:val="00EA5ADD"/>
    <w:rsid w:val="00EA61DD"/>
    <w:rsid w:val="00EA66C3"/>
    <w:rsid w:val="00EB03DB"/>
    <w:rsid w:val="00EB0CCF"/>
    <w:rsid w:val="00EB2007"/>
    <w:rsid w:val="00EB2514"/>
    <w:rsid w:val="00EB3137"/>
    <w:rsid w:val="00EB4EEA"/>
    <w:rsid w:val="00EB4F91"/>
    <w:rsid w:val="00EB657D"/>
    <w:rsid w:val="00EC0DFD"/>
    <w:rsid w:val="00EC1D8E"/>
    <w:rsid w:val="00EC2113"/>
    <w:rsid w:val="00EC29C2"/>
    <w:rsid w:val="00EC3660"/>
    <w:rsid w:val="00EC3CBC"/>
    <w:rsid w:val="00EC5F37"/>
    <w:rsid w:val="00EC6055"/>
    <w:rsid w:val="00EC76BB"/>
    <w:rsid w:val="00ED0D2C"/>
    <w:rsid w:val="00ED2530"/>
    <w:rsid w:val="00ED4DBC"/>
    <w:rsid w:val="00ED670E"/>
    <w:rsid w:val="00ED6EA7"/>
    <w:rsid w:val="00ED7535"/>
    <w:rsid w:val="00EE02E6"/>
    <w:rsid w:val="00EE0872"/>
    <w:rsid w:val="00EE0BD6"/>
    <w:rsid w:val="00EE2BC7"/>
    <w:rsid w:val="00EE51C6"/>
    <w:rsid w:val="00EE65D3"/>
    <w:rsid w:val="00EE6938"/>
    <w:rsid w:val="00EE7A32"/>
    <w:rsid w:val="00EF0559"/>
    <w:rsid w:val="00EF2639"/>
    <w:rsid w:val="00EF31DA"/>
    <w:rsid w:val="00EF55F9"/>
    <w:rsid w:val="00EF5D82"/>
    <w:rsid w:val="00EF706D"/>
    <w:rsid w:val="00EF7605"/>
    <w:rsid w:val="00EF7F50"/>
    <w:rsid w:val="00F0001B"/>
    <w:rsid w:val="00F00955"/>
    <w:rsid w:val="00F015C7"/>
    <w:rsid w:val="00F0287C"/>
    <w:rsid w:val="00F03948"/>
    <w:rsid w:val="00F04BF3"/>
    <w:rsid w:val="00F1151D"/>
    <w:rsid w:val="00F1156A"/>
    <w:rsid w:val="00F12037"/>
    <w:rsid w:val="00F1387F"/>
    <w:rsid w:val="00F13CC4"/>
    <w:rsid w:val="00F1470A"/>
    <w:rsid w:val="00F148F5"/>
    <w:rsid w:val="00F15121"/>
    <w:rsid w:val="00F1544F"/>
    <w:rsid w:val="00F16402"/>
    <w:rsid w:val="00F16CEC"/>
    <w:rsid w:val="00F16DC6"/>
    <w:rsid w:val="00F20519"/>
    <w:rsid w:val="00F22513"/>
    <w:rsid w:val="00F236E0"/>
    <w:rsid w:val="00F23A50"/>
    <w:rsid w:val="00F2439C"/>
    <w:rsid w:val="00F24A11"/>
    <w:rsid w:val="00F262A3"/>
    <w:rsid w:val="00F26773"/>
    <w:rsid w:val="00F278AB"/>
    <w:rsid w:val="00F30B41"/>
    <w:rsid w:val="00F313D0"/>
    <w:rsid w:val="00F327D9"/>
    <w:rsid w:val="00F3286E"/>
    <w:rsid w:val="00F33E93"/>
    <w:rsid w:val="00F34CAC"/>
    <w:rsid w:val="00F35D47"/>
    <w:rsid w:val="00F364F2"/>
    <w:rsid w:val="00F36506"/>
    <w:rsid w:val="00F37966"/>
    <w:rsid w:val="00F37FD7"/>
    <w:rsid w:val="00F40496"/>
    <w:rsid w:val="00F4189E"/>
    <w:rsid w:val="00F4190D"/>
    <w:rsid w:val="00F42F16"/>
    <w:rsid w:val="00F43B4F"/>
    <w:rsid w:val="00F454CD"/>
    <w:rsid w:val="00F45ABF"/>
    <w:rsid w:val="00F45BD4"/>
    <w:rsid w:val="00F46F01"/>
    <w:rsid w:val="00F47DCC"/>
    <w:rsid w:val="00F51B4C"/>
    <w:rsid w:val="00F51D5E"/>
    <w:rsid w:val="00F523C5"/>
    <w:rsid w:val="00F52CFA"/>
    <w:rsid w:val="00F549A4"/>
    <w:rsid w:val="00F54E6F"/>
    <w:rsid w:val="00F55320"/>
    <w:rsid w:val="00F56981"/>
    <w:rsid w:val="00F57693"/>
    <w:rsid w:val="00F57FED"/>
    <w:rsid w:val="00F61D7B"/>
    <w:rsid w:val="00F6203D"/>
    <w:rsid w:val="00F62B0D"/>
    <w:rsid w:val="00F6376A"/>
    <w:rsid w:val="00F63FC2"/>
    <w:rsid w:val="00F65275"/>
    <w:rsid w:val="00F652C6"/>
    <w:rsid w:val="00F7029F"/>
    <w:rsid w:val="00F7085C"/>
    <w:rsid w:val="00F70D51"/>
    <w:rsid w:val="00F71894"/>
    <w:rsid w:val="00F73D6F"/>
    <w:rsid w:val="00F7650D"/>
    <w:rsid w:val="00F76ABB"/>
    <w:rsid w:val="00F76B86"/>
    <w:rsid w:val="00F76E44"/>
    <w:rsid w:val="00F8013A"/>
    <w:rsid w:val="00F81728"/>
    <w:rsid w:val="00F8322E"/>
    <w:rsid w:val="00F83A32"/>
    <w:rsid w:val="00F8412B"/>
    <w:rsid w:val="00F851A6"/>
    <w:rsid w:val="00F85352"/>
    <w:rsid w:val="00F8632D"/>
    <w:rsid w:val="00F864CE"/>
    <w:rsid w:val="00F87872"/>
    <w:rsid w:val="00F90292"/>
    <w:rsid w:val="00F91F36"/>
    <w:rsid w:val="00F92E71"/>
    <w:rsid w:val="00F93C68"/>
    <w:rsid w:val="00F9415A"/>
    <w:rsid w:val="00F949D6"/>
    <w:rsid w:val="00F94B13"/>
    <w:rsid w:val="00F95DE3"/>
    <w:rsid w:val="00FA0F13"/>
    <w:rsid w:val="00FA1AFC"/>
    <w:rsid w:val="00FA21A8"/>
    <w:rsid w:val="00FA2925"/>
    <w:rsid w:val="00FA4B09"/>
    <w:rsid w:val="00FA61BB"/>
    <w:rsid w:val="00FA6D7A"/>
    <w:rsid w:val="00FA777D"/>
    <w:rsid w:val="00FA78B7"/>
    <w:rsid w:val="00FA7F7F"/>
    <w:rsid w:val="00FB167F"/>
    <w:rsid w:val="00FB44A8"/>
    <w:rsid w:val="00FB5120"/>
    <w:rsid w:val="00FB5637"/>
    <w:rsid w:val="00FB594E"/>
    <w:rsid w:val="00FB6086"/>
    <w:rsid w:val="00FB62DC"/>
    <w:rsid w:val="00FB62F0"/>
    <w:rsid w:val="00FB725B"/>
    <w:rsid w:val="00FC0107"/>
    <w:rsid w:val="00FC0231"/>
    <w:rsid w:val="00FC1BC7"/>
    <w:rsid w:val="00FC25D4"/>
    <w:rsid w:val="00FC269A"/>
    <w:rsid w:val="00FC2D9F"/>
    <w:rsid w:val="00FC3B3B"/>
    <w:rsid w:val="00FC548A"/>
    <w:rsid w:val="00FC6D0F"/>
    <w:rsid w:val="00FC7DB8"/>
    <w:rsid w:val="00FD0823"/>
    <w:rsid w:val="00FD08AC"/>
    <w:rsid w:val="00FD24D4"/>
    <w:rsid w:val="00FD2927"/>
    <w:rsid w:val="00FD36ED"/>
    <w:rsid w:val="00FD552B"/>
    <w:rsid w:val="00FE171B"/>
    <w:rsid w:val="00FE1D15"/>
    <w:rsid w:val="00FE2AA0"/>
    <w:rsid w:val="00FE3C1D"/>
    <w:rsid w:val="00FE3EDE"/>
    <w:rsid w:val="00FE4E5B"/>
    <w:rsid w:val="00FE5A58"/>
    <w:rsid w:val="00FE6422"/>
    <w:rsid w:val="00FE6EF1"/>
    <w:rsid w:val="00FE70C7"/>
    <w:rsid w:val="00FE73AF"/>
    <w:rsid w:val="00FE7733"/>
    <w:rsid w:val="00FF38BC"/>
    <w:rsid w:val="00FF578F"/>
    <w:rsid w:val="00FF70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7878"/>
  <w15:chartTrackingRefBased/>
  <w15:docId w15:val="{7C7C8870-21AD-7C4A-BBA3-27682AC6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B9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91CF1"/>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9"/>
    <w:qFormat/>
    <w:rsid w:val="00286B9A"/>
    <w:pPr>
      <w:keepNext/>
      <w:jc w:val="center"/>
      <w:outlineLvl w:val="1"/>
    </w:pPr>
    <w:rPr>
      <w:rFonts w:ascii="Arial Ro" w:hAnsi="Arial Ro"/>
      <w:b/>
      <w:sz w:val="28"/>
      <w:szCs w:val="20"/>
      <w:lang w:val="ro-RO" w:eastAsia="x-none"/>
    </w:rPr>
  </w:style>
  <w:style w:type="paragraph" w:styleId="Heading3">
    <w:name w:val="heading 3"/>
    <w:basedOn w:val="Normal"/>
    <w:next w:val="Normal"/>
    <w:link w:val="Heading3Char"/>
    <w:uiPriority w:val="99"/>
    <w:qFormat/>
    <w:rsid w:val="00286B9A"/>
    <w:pPr>
      <w:keepNext/>
      <w:spacing w:line="360" w:lineRule="auto"/>
      <w:jc w:val="center"/>
      <w:outlineLvl w:val="2"/>
    </w:pPr>
    <w:rPr>
      <w:b/>
      <w:bCs/>
      <w:sz w:val="20"/>
      <w:lang w:val="ro-RO" w:eastAsia="x-none"/>
    </w:rPr>
  </w:style>
  <w:style w:type="paragraph" w:styleId="Heading5">
    <w:name w:val="heading 5"/>
    <w:basedOn w:val="Normal"/>
    <w:next w:val="Normal"/>
    <w:link w:val="Heading5Char"/>
    <w:uiPriority w:val="9"/>
    <w:unhideWhenUsed/>
    <w:qFormat/>
    <w:rsid w:val="002A425E"/>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286B9A"/>
    <w:rPr>
      <w:rFonts w:ascii="Arial Ro" w:eastAsia="Times New Roman" w:hAnsi="Arial Ro" w:cs="Times New Roman"/>
      <w:b/>
      <w:sz w:val="28"/>
      <w:szCs w:val="20"/>
      <w:lang w:val="ro-RO"/>
    </w:rPr>
  </w:style>
  <w:style w:type="character" w:customStyle="1" w:styleId="Heading3Char">
    <w:name w:val="Heading 3 Char"/>
    <w:link w:val="Heading3"/>
    <w:uiPriority w:val="99"/>
    <w:rsid w:val="00286B9A"/>
    <w:rPr>
      <w:rFonts w:ascii="Times New Roman" w:eastAsia="Times New Roman" w:hAnsi="Times New Roman" w:cs="Times New Roman"/>
      <w:b/>
      <w:bCs/>
      <w:szCs w:val="24"/>
      <w:lang w:val="ro-RO"/>
    </w:rPr>
  </w:style>
  <w:style w:type="paragraph" w:styleId="Header">
    <w:name w:val="header"/>
    <w:basedOn w:val="Normal"/>
    <w:link w:val="HeaderChar"/>
    <w:uiPriority w:val="99"/>
    <w:rsid w:val="00286B9A"/>
    <w:pPr>
      <w:tabs>
        <w:tab w:val="center" w:pos="4153"/>
        <w:tab w:val="right" w:pos="8306"/>
      </w:tabs>
    </w:pPr>
    <w:rPr>
      <w:rFonts w:ascii="RimTimes" w:hAnsi="RimTimes"/>
      <w:sz w:val="28"/>
      <w:szCs w:val="20"/>
      <w:lang w:val="lv-LV" w:eastAsia="x-none"/>
    </w:rPr>
  </w:style>
  <w:style w:type="character" w:customStyle="1" w:styleId="HeaderChar">
    <w:name w:val="Header Char"/>
    <w:link w:val="Header"/>
    <w:uiPriority w:val="99"/>
    <w:rsid w:val="00286B9A"/>
    <w:rPr>
      <w:rFonts w:ascii="RimTimes" w:eastAsia="Times New Roman" w:hAnsi="RimTimes" w:cs="Times New Roman"/>
      <w:sz w:val="28"/>
      <w:szCs w:val="20"/>
      <w:lang w:val="lv-LV"/>
    </w:rPr>
  </w:style>
  <w:style w:type="paragraph" w:styleId="Footer">
    <w:name w:val="footer"/>
    <w:basedOn w:val="Normal"/>
    <w:link w:val="FooterChar"/>
    <w:uiPriority w:val="99"/>
    <w:rsid w:val="00286B9A"/>
    <w:pPr>
      <w:tabs>
        <w:tab w:val="center" w:pos="4703"/>
        <w:tab w:val="right" w:pos="9406"/>
      </w:tabs>
    </w:pPr>
    <w:rPr>
      <w:lang w:val="x-none" w:eastAsia="x-none"/>
    </w:rPr>
  </w:style>
  <w:style w:type="character" w:customStyle="1" w:styleId="FooterChar">
    <w:name w:val="Footer Char"/>
    <w:link w:val="Footer"/>
    <w:uiPriority w:val="99"/>
    <w:rsid w:val="00286B9A"/>
    <w:rPr>
      <w:rFonts w:ascii="Times New Roman" w:eastAsia="Times New Roman" w:hAnsi="Times New Roman" w:cs="Times New Roman"/>
      <w:sz w:val="24"/>
      <w:szCs w:val="24"/>
    </w:rPr>
  </w:style>
  <w:style w:type="character" w:styleId="PageNumber">
    <w:name w:val="page number"/>
    <w:uiPriority w:val="99"/>
    <w:rsid w:val="00286B9A"/>
    <w:rPr>
      <w:rFonts w:cs="Times New Roman"/>
    </w:rPr>
  </w:style>
  <w:style w:type="paragraph" w:styleId="BodyText2">
    <w:name w:val="Body Text 2"/>
    <w:basedOn w:val="Normal"/>
    <w:link w:val="BodyText2Char"/>
    <w:uiPriority w:val="99"/>
    <w:unhideWhenUsed/>
    <w:rsid w:val="00454DB4"/>
    <w:pPr>
      <w:spacing w:after="120" w:line="480" w:lineRule="auto"/>
    </w:pPr>
    <w:rPr>
      <w:sz w:val="20"/>
      <w:szCs w:val="20"/>
      <w:lang w:val="x-none" w:eastAsia="x-none"/>
    </w:rPr>
  </w:style>
  <w:style w:type="character" w:customStyle="1" w:styleId="BodyText2Char">
    <w:name w:val="Body Text 2 Char"/>
    <w:link w:val="BodyText2"/>
    <w:uiPriority w:val="99"/>
    <w:rsid w:val="00454DB4"/>
    <w:rPr>
      <w:rFonts w:ascii="Times New Roman" w:eastAsia="Times New Roman" w:hAnsi="Times New Roman" w:cs="Times New Roman"/>
      <w:sz w:val="20"/>
      <w:szCs w:val="20"/>
    </w:rPr>
  </w:style>
  <w:style w:type="paragraph" w:styleId="NormalWeb">
    <w:name w:val="Normal (Web)"/>
    <w:basedOn w:val="Normal"/>
    <w:uiPriority w:val="99"/>
    <w:unhideWhenUsed/>
    <w:rsid w:val="00454DB4"/>
    <w:pPr>
      <w:spacing w:before="100" w:beforeAutospacing="1" w:after="100" w:afterAutospacing="1"/>
    </w:pPr>
    <w:rPr>
      <w:lang w:val="ro-RO" w:eastAsia="ro-RO"/>
    </w:rPr>
  </w:style>
  <w:style w:type="table" w:styleId="TableGrid">
    <w:name w:val="Table Grid"/>
    <w:basedOn w:val="TableNormal"/>
    <w:uiPriority w:val="39"/>
    <w:rsid w:val="00D81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Tekst przypisu,Tekst przypisu Znak Znak Znak Znak,Tekst przypisu Znak Znak Znak Znak Znak,Tekst przypisu Znak Znak Znak Znak Znak Znak Znak,Tekst przypisu Znak Znak Znak Znak Znak Znak Znak Znak Zn,fn,Testo_note,ft"/>
    <w:basedOn w:val="Normal"/>
    <w:link w:val="FootnoteTextChar"/>
    <w:rsid w:val="00E21981"/>
    <w:rPr>
      <w:sz w:val="20"/>
      <w:szCs w:val="20"/>
      <w:lang w:val="x-none" w:eastAsia="x-none"/>
    </w:rPr>
  </w:style>
  <w:style w:type="character" w:customStyle="1" w:styleId="FootnoteTextChar">
    <w:name w:val="Footnote Text Char"/>
    <w:aliases w:val="Footnote Char,Fußnote Char,Tekst przypisu Char,Tekst przypisu Znak Znak Znak Znak Char,Tekst przypisu Znak Znak Znak Znak Znak Char,Tekst przypisu Znak Znak Znak Znak Znak Znak Znak Char,fn Char,Testo_note Char,ft Char"/>
    <w:link w:val="FootnoteText"/>
    <w:rsid w:val="00E21981"/>
    <w:rPr>
      <w:rFonts w:ascii="Times New Roman" w:eastAsia="Times New Roman" w:hAnsi="Times New Roman"/>
    </w:rPr>
  </w:style>
  <w:style w:type="character" w:styleId="FootnoteReference">
    <w:name w:val="footnote reference"/>
    <w:aliases w:val="BVI fnr Char,Footnote Reference Number Char,Times 10 Point Char,Exposant 3 Point Char,Footnote symbol Char,Footnote reference number Char,EN Footnote Reference Char,note TESI Char,Odwołanie przypisu Char,Footnote Reference_LVL62"/>
    <w:link w:val="BVIfnr"/>
    <w:qFormat/>
    <w:rsid w:val="00E21981"/>
    <w:rPr>
      <w:vertAlign w:val="superscript"/>
    </w:rPr>
  </w:style>
  <w:style w:type="paragraph" w:styleId="BodyTextIndent2">
    <w:name w:val="Body Text Indent 2"/>
    <w:basedOn w:val="Normal"/>
    <w:link w:val="BodyTextIndent2Char"/>
    <w:rsid w:val="0074730F"/>
    <w:pPr>
      <w:spacing w:after="120" w:line="480" w:lineRule="auto"/>
      <w:ind w:left="283"/>
    </w:pPr>
    <w:rPr>
      <w:lang w:val="ro-RO" w:eastAsia="x-none"/>
    </w:rPr>
  </w:style>
  <w:style w:type="character" w:customStyle="1" w:styleId="BodyTextIndent2Char">
    <w:name w:val="Body Text Indent 2 Char"/>
    <w:link w:val="BodyTextIndent2"/>
    <w:rsid w:val="0074730F"/>
    <w:rPr>
      <w:rFonts w:ascii="Times New Roman" w:eastAsia="Times New Roman" w:hAnsi="Times New Roman"/>
      <w:sz w:val="24"/>
      <w:szCs w:val="24"/>
      <w:lang w:val="ro-RO"/>
    </w:rPr>
  </w:style>
  <w:style w:type="character" w:customStyle="1" w:styleId="Heading5Char">
    <w:name w:val="Heading 5 Char"/>
    <w:link w:val="Heading5"/>
    <w:uiPriority w:val="9"/>
    <w:rsid w:val="002A425E"/>
    <w:rPr>
      <w:rFonts w:ascii="Calibri" w:eastAsia="Times New Roman" w:hAnsi="Calibri" w:cs="Times New Roman"/>
      <w:b/>
      <w:bCs/>
      <w:i/>
      <w:iCs/>
      <w:sz w:val="26"/>
      <w:szCs w:val="26"/>
    </w:rPr>
  </w:style>
  <w:style w:type="character" w:styleId="Hyperlink">
    <w:name w:val="Hyperlink"/>
    <w:uiPriority w:val="99"/>
    <w:semiHidden/>
    <w:unhideWhenUsed/>
    <w:rsid w:val="002A425E"/>
    <w:rPr>
      <w:color w:val="0000FF"/>
      <w:u w:val="single"/>
    </w:rPr>
  </w:style>
  <w:style w:type="character" w:customStyle="1" w:styleId="textcontactbig">
    <w:name w:val="text_contact_big"/>
    <w:basedOn w:val="DefaultParagraphFont"/>
    <w:rsid w:val="004470AE"/>
  </w:style>
  <w:style w:type="paragraph" w:styleId="BalloonText">
    <w:name w:val="Balloon Text"/>
    <w:basedOn w:val="Normal"/>
    <w:link w:val="BalloonTextChar"/>
    <w:uiPriority w:val="99"/>
    <w:semiHidden/>
    <w:unhideWhenUsed/>
    <w:rsid w:val="00D66AD9"/>
    <w:rPr>
      <w:rFonts w:ascii="Segoe UI" w:hAnsi="Segoe UI"/>
      <w:sz w:val="18"/>
      <w:szCs w:val="18"/>
    </w:rPr>
  </w:style>
  <w:style w:type="character" w:customStyle="1" w:styleId="BalloonTextChar">
    <w:name w:val="Balloon Text Char"/>
    <w:link w:val="BalloonText"/>
    <w:uiPriority w:val="99"/>
    <w:semiHidden/>
    <w:rsid w:val="00D66AD9"/>
    <w:rPr>
      <w:rFonts w:ascii="Segoe UI" w:eastAsia="Times New Roman" w:hAnsi="Segoe UI" w:cs="Segoe UI"/>
      <w:sz w:val="18"/>
      <w:szCs w:val="18"/>
      <w:lang w:val="en-US" w:eastAsia="en-US"/>
    </w:rPr>
  </w:style>
  <w:style w:type="character" w:styleId="Strong">
    <w:name w:val="Strong"/>
    <w:uiPriority w:val="22"/>
    <w:qFormat/>
    <w:rsid w:val="001571BF"/>
    <w:rPr>
      <w:b/>
      <w:bCs/>
    </w:rPr>
  </w:style>
  <w:style w:type="character" w:styleId="CommentReference">
    <w:name w:val="annotation reference"/>
    <w:semiHidden/>
    <w:unhideWhenUsed/>
    <w:rsid w:val="00C70BDC"/>
    <w:rPr>
      <w:sz w:val="16"/>
      <w:szCs w:val="16"/>
    </w:rPr>
  </w:style>
  <w:style w:type="paragraph" w:styleId="CommentText">
    <w:name w:val="annotation text"/>
    <w:basedOn w:val="Normal"/>
    <w:link w:val="CommentTextChar"/>
    <w:uiPriority w:val="99"/>
    <w:unhideWhenUsed/>
    <w:rsid w:val="00C70BDC"/>
    <w:rPr>
      <w:sz w:val="20"/>
      <w:szCs w:val="20"/>
    </w:rPr>
  </w:style>
  <w:style w:type="character" w:customStyle="1" w:styleId="CommentTextChar">
    <w:name w:val="Comment Text Char"/>
    <w:link w:val="CommentText"/>
    <w:uiPriority w:val="99"/>
    <w:rsid w:val="00C70BDC"/>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70BDC"/>
    <w:rPr>
      <w:b/>
      <w:bCs/>
    </w:rPr>
  </w:style>
  <w:style w:type="character" w:customStyle="1" w:styleId="CommentSubjectChar">
    <w:name w:val="Comment Subject Char"/>
    <w:link w:val="CommentSubject"/>
    <w:uiPriority w:val="99"/>
    <w:semiHidden/>
    <w:rsid w:val="00C70BDC"/>
    <w:rPr>
      <w:rFonts w:ascii="Times New Roman" w:eastAsia="Times New Roman" w:hAnsi="Times New Roman"/>
      <w:b/>
      <w:bCs/>
      <w:lang w:val="en-US" w:eastAsia="en-US"/>
    </w:rPr>
  </w:style>
  <w:style w:type="paragraph" w:styleId="HTMLPreformatted">
    <w:name w:val="HTML Preformatted"/>
    <w:basedOn w:val="Normal"/>
    <w:link w:val="HTMLPreformattedChar"/>
    <w:rsid w:val="00AB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link w:val="HTMLPreformatted"/>
    <w:rsid w:val="00AB0BC6"/>
    <w:rPr>
      <w:rFonts w:ascii="Courier New" w:eastAsia="Courier New" w:hAnsi="Courier New" w:cs="Courier New"/>
    </w:rPr>
  </w:style>
  <w:style w:type="paragraph" w:styleId="Title">
    <w:name w:val="Title"/>
    <w:basedOn w:val="Normal"/>
    <w:link w:val="TitleChar"/>
    <w:qFormat/>
    <w:rsid w:val="00AB0BC6"/>
    <w:pPr>
      <w:jc w:val="center"/>
    </w:pPr>
    <w:rPr>
      <w:b/>
      <w:bCs/>
      <w:sz w:val="28"/>
      <w:u w:val="single"/>
      <w:lang w:val="x-none" w:eastAsia="x-none"/>
    </w:rPr>
  </w:style>
  <w:style w:type="character" w:customStyle="1" w:styleId="TitleChar">
    <w:name w:val="Title Char"/>
    <w:link w:val="Title"/>
    <w:rsid w:val="00AB0BC6"/>
    <w:rPr>
      <w:rFonts w:ascii="Times New Roman" w:eastAsia="Times New Roman" w:hAnsi="Times New Roman"/>
      <w:b/>
      <w:bCs/>
      <w:sz w:val="28"/>
      <w:szCs w:val="24"/>
      <w:u w:val="single"/>
    </w:rPr>
  </w:style>
  <w:style w:type="character" w:customStyle="1" w:styleId="Heading1Char">
    <w:name w:val="Heading 1 Char"/>
    <w:link w:val="Heading1"/>
    <w:uiPriority w:val="9"/>
    <w:rsid w:val="00891CF1"/>
    <w:rPr>
      <w:rFonts w:ascii="Calibri Light" w:eastAsia="Times New Roman" w:hAnsi="Calibri Light" w:cs="Times New Roman"/>
      <w:b/>
      <w:bCs/>
      <w:kern w:val="32"/>
      <w:sz w:val="32"/>
      <w:szCs w:val="32"/>
    </w:rPr>
  </w:style>
  <w:style w:type="paragraph" w:customStyle="1" w:styleId="Default">
    <w:name w:val="Default"/>
    <w:rsid w:val="00D0191B"/>
    <w:pPr>
      <w:autoSpaceDE w:val="0"/>
      <w:autoSpaceDN w:val="0"/>
      <w:adjustRightInd w:val="0"/>
    </w:pPr>
    <w:rPr>
      <w:rFonts w:ascii="Times New Roman" w:hAnsi="Times New Roman"/>
      <w:color w:val="000000"/>
      <w:sz w:val="24"/>
      <w:szCs w:val="24"/>
      <w:lang w:val="en-US" w:eastAsia="en-US"/>
    </w:rPr>
  </w:style>
  <w:style w:type="character" w:styleId="Emphasis">
    <w:name w:val="Emphasis"/>
    <w:uiPriority w:val="20"/>
    <w:qFormat/>
    <w:rsid w:val="0045126F"/>
    <w:rPr>
      <w:i/>
      <w:iCs/>
    </w:rPr>
  </w:style>
  <w:style w:type="paragraph" w:styleId="NoSpacing">
    <w:name w:val="No Spacing"/>
    <w:uiPriority w:val="1"/>
    <w:qFormat/>
    <w:rsid w:val="006B005D"/>
    <w:pPr>
      <w:suppressAutoHyphens/>
    </w:pPr>
    <w:rPr>
      <w:rFonts w:ascii="Times New Roman" w:eastAsia="Times New Roman" w:hAnsi="Times New Roman"/>
      <w:sz w:val="28"/>
      <w:lang w:val="en-AU" w:eastAsia="en-US"/>
    </w:rPr>
  </w:style>
  <w:style w:type="paragraph" w:styleId="ListParagraph">
    <w:name w:val="List Paragraph"/>
    <w:aliases w:val="Dot pt,F5 List Paragraph,List Paragraph1,Normal bullet 2,body 2,List_Paragraph,Multilevel para_II,References,Numbered List Paragraph,Numbered Paragraph,Main numbered paragraph,Outlines a.b.c.,Akapit z listą BS,List Paragraph (numbered (a)"/>
    <w:basedOn w:val="Normal"/>
    <w:link w:val="ListParagraphChar"/>
    <w:uiPriority w:val="34"/>
    <w:qFormat/>
    <w:rsid w:val="006B005D"/>
    <w:pPr>
      <w:ind w:left="708"/>
    </w:pPr>
    <w:rPr>
      <w:lang w:val="x-none" w:eastAsia="x-none"/>
    </w:rPr>
  </w:style>
  <w:style w:type="character" w:customStyle="1" w:styleId="ListParagraphChar">
    <w:name w:val="List Paragraph Char"/>
    <w:aliases w:val="Dot pt Char,F5 List Paragraph Char,List Paragraph1 Char,Normal bullet 2 Char,body 2 Char,List_Paragraph Char,Multilevel para_II Char,References Char,Numbered List Paragraph Char,Numbered Paragraph Char,Main numbered paragraph Char"/>
    <w:link w:val="ListParagraph"/>
    <w:uiPriority w:val="34"/>
    <w:qFormat/>
    <w:locked/>
    <w:rsid w:val="006B005D"/>
    <w:rPr>
      <w:rFonts w:ascii="Times New Roman" w:eastAsia="Times New Roman" w:hAnsi="Times New Roman"/>
      <w:sz w:val="24"/>
      <w:szCs w:val="24"/>
    </w:rPr>
  </w:style>
  <w:style w:type="paragraph" w:customStyle="1" w:styleId="BVIfnr">
    <w:name w:val="BVI fnr"/>
    <w:aliases w:val="Footnote Reference Number,Times 10 Point,Exposant 3 Point,Footnote symbol,Footnote reference number,EN Footnote Reference,note TESI,Odwołanie przypisu,Footnote Reference_LVL6,Footnote Reference_LVL61,Footnote Refernece, BVI fnr,callout,Fussnota"/>
    <w:basedOn w:val="Normal"/>
    <w:next w:val="Normal"/>
    <w:link w:val="FootnoteReference"/>
    <w:rsid w:val="003E1D77"/>
    <w:pPr>
      <w:spacing w:after="160" w:line="240" w:lineRule="exact"/>
    </w:pPr>
    <w:rPr>
      <w:rFonts w:ascii="Calibri" w:eastAsia="Calibri" w:hAnsi="Calibri"/>
      <w:sz w:val="20"/>
      <w:szCs w:val="20"/>
      <w:vertAlign w:val="superscript"/>
      <w:lang w:val="x-none" w:eastAsia="x-none"/>
    </w:rPr>
  </w:style>
  <w:style w:type="paragraph" w:customStyle="1" w:styleId="Normal1">
    <w:name w:val="Normal1"/>
    <w:rsid w:val="00CF35DB"/>
    <w:rPr>
      <w:rFonts w:ascii="Times New Roman" w:eastAsia="MS Mincho" w:hAnsi="Times New Roman"/>
      <w:sz w:val="24"/>
      <w:szCs w:val="24"/>
      <w:lang w:eastAsia="en-US"/>
    </w:rPr>
  </w:style>
  <w:style w:type="character" w:customStyle="1" w:styleId="sden">
    <w:name w:val="s_den"/>
    <w:rsid w:val="00C5383D"/>
  </w:style>
  <w:style w:type="character" w:customStyle="1" w:styleId="shdr">
    <w:name w:val="s_hdr"/>
    <w:rsid w:val="00C5383D"/>
  </w:style>
  <w:style w:type="character" w:customStyle="1" w:styleId="semtttl">
    <w:name w:val="s_emt_ttl"/>
    <w:rsid w:val="00C5383D"/>
  </w:style>
  <w:style w:type="character" w:customStyle="1" w:styleId="semtbdy">
    <w:name w:val="s_emt_bdy"/>
    <w:rsid w:val="00C5383D"/>
  </w:style>
  <w:style w:type="character" w:customStyle="1" w:styleId="spubttl">
    <w:name w:val="s_pub_ttl"/>
    <w:rsid w:val="00C5383D"/>
  </w:style>
  <w:style w:type="character" w:customStyle="1" w:styleId="spubbdy">
    <w:name w:val="s_pub_bdy"/>
    <w:rsid w:val="00C5383D"/>
  </w:style>
  <w:style w:type="paragraph" w:styleId="Revision">
    <w:name w:val="Revision"/>
    <w:hidden/>
    <w:uiPriority w:val="99"/>
    <w:semiHidden/>
    <w:rsid w:val="00734D93"/>
    <w:rPr>
      <w:rFonts w:ascii="Times New Roman" w:eastAsia="Times New Roman" w:hAnsi="Times New Roman"/>
      <w:sz w:val="24"/>
      <w:szCs w:val="24"/>
      <w:lang w:val="en-US" w:eastAsia="en-US"/>
    </w:rPr>
  </w:style>
  <w:style w:type="table" w:customStyle="1" w:styleId="TableGrid1">
    <w:name w:val="Table Grid1"/>
    <w:basedOn w:val="TableNormal"/>
    <w:next w:val="TableGrid"/>
    <w:uiPriority w:val="59"/>
    <w:rsid w:val="00BA77E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6606">
      <w:bodyDiv w:val="1"/>
      <w:marLeft w:val="0"/>
      <w:marRight w:val="0"/>
      <w:marTop w:val="0"/>
      <w:marBottom w:val="0"/>
      <w:divBdr>
        <w:top w:val="none" w:sz="0" w:space="0" w:color="auto"/>
        <w:left w:val="none" w:sz="0" w:space="0" w:color="auto"/>
        <w:bottom w:val="none" w:sz="0" w:space="0" w:color="auto"/>
        <w:right w:val="none" w:sz="0" w:space="0" w:color="auto"/>
      </w:divBdr>
    </w:div>
    <w:div w:id="65500294">
      <w:bodyDiv w:val="1"/>
      <w:marLeft w:val="0"/>
      <w:marRight w:val="0"/>
      <w:marTop w:val="0"/>
      <w:marBottom w:val="0"/>
      <w:divBdr>
        <w:top w:val="none" w:sz="0" w:space="0" w:color="auto"/>
        <w:left w:val="none" w:sz="0" w:space="0" w:color="auto"/>
        <w:bottom w:val="none" w:sz="0" w:space="0" w:color="auto"/>
        <w:right w:val="none" w:sz="0" w:space="0" w:color="auto"/>
      </w:divBdr>
    </w:div>
    <w:div w:id="69740162">
      <w:bodyDiv w:val="1"/>
      <w:marLeft w:val="0"/>
      <w:marRight w:val="0"/>
      <w:marTop w:val="0"/>
      <w:marBottom w:val="0"/>
      <w:divBdr>
        <w:top w:val="none" w:sz="0" w:space="0" w:color="auto"/>
        <w:left w:val="none" w:sz="0" w:space="0" w:color="auto"/>
        <w:bottom w:val="none" w:sz="0" w:space="0" w:color="auto"/>
        <w:right w:val="none" w:sz="0" w:space="0" w:color="auto"/>
      </w:divBdr>
    </w:div>
    <w:div w:id="181669213">
      <w:bodyDiv w:val="1"/>
      <w:marLeft w:val="0"/>
      <w:marRight w:val="0"/>
      <w:marTop w:val="0"/>
      <w:marBottom w:val="0"/>
      <w:divBdr>
        <w:top w:val="none" w:sz="0" w:space="0" w:color="auto"/>
        <w:left w:val="none" w:sz="0" w:space="0" w:color="auto"/>
        <w:bottom w:val="none" w:sz="0" w:space="0" w:color="auto"/>
        <w:right w:val="none" w:sz="0" w:space="0" w:color="auto"/>
      </w:divBdr>
    </w:div>
    <w:div w:id="198323892">
      <w:bodyDiv w:val="1"/>
      <w:marLeft w:val="0"/>
      <w:marRight w:val="0"/>
      <w:marTop w:val="0"/>
      <w:marBottom w:val="0"/>
      <w:divBdr>
        <w:top w:val="none" w:sz="0" w:space="0" w:color="auto"/>
        <w:left w:val="none" w:sz="0" w:space="0" w:color="auto"/>
        <w:bottom w:val="none" w:sz="0" w:space="0" w:color="auto"/>
        <w:right w:val="none" w:sz="0" w:space="0" w:color="auto"/>
      </w:divBdr>
    </w:div>
    <w:div w:id="216207157">
      <w:bodyDiv w:val="1"/>
      <w:marLeft w:val="0"/>
      <w:marRight w:val="0"/>
      <w:marTop w:val="0"/>
      <w:marBottom w:val="0"/>
      <w:divBdr>
        <w:top w:val="none" w:sz="0" w:space="0" w:color="auto"/>
        <w:left w:val="none" w:sz="0" w:space="0" w:color="auto"/>
        <w:bottom w:val="none" w:sz="0" w:space="0" w:color="auto"/>
        <w:right w:val="none" w:sz="0" w:space="0" w:color="auto"/>
      </w:divBdr>
    </w:div>
    <w:div w:id="293949929">
      <w:bodyDiv w:val="1"/>
      <w:marLeft w:val="0"/>
      <w:marRight w:val="0"/>
      <w:marTop w:val="0"/>
      <w:marBottom w:val="0"/>
      <w:divBdr>
        <w:top w:val="none" w:sz="0" w:space="0" w:color="auto"/>
        <w:left w:val="none" w:sz="0" w:space="0" w:color="auto"/>
        <w:bottom w:val="none" w:sz="0" w:space="0" w:color="auto"/>
        <w:right w:val="none" w:sz="0" w:space="0" w:color="auto"/>
      </w:divBdr>
    </w:div>
    <w:div w:id="365643888">
      <w:bodyDiv w:val="1"/>
      <w:marLeft w:val="0"/>
      <w:marRight w:val="0"/>
      <w:marTop w:val="0"/>
      <w:marBottom w:val="0"/>
      <w:divBdr>
        <w:top w:val="none" w:sz="0" w:space="0" w:color="auto"/>
        <w:left w:val="none" w:sz="0" w:space="0" w:color="auto"/>
        <w:bottom w:val="none" w:sz="0" w:space="0" w:color="auto"/>
        <w:right w:val="none" w:sz="0" w:space="0" w:color="auto"/>
      </w:divBdr>
    </w:div>
    <w:div w:id="390931726">
      <w:bodyDiv w:val="1"/>
      <w:marLeft w:val="0"/>
      <w:marRight w:val="0"/>
      <w:marTop w:val="0"/>
      <w:marBottom w:val="0"/>
      <w:divBdr>
        <w:top w:val="none" w:sz="0" w:space="0" w:color="auto"/>
        <w:left w:val="none" w:sz="0" w:space="0" w:color="auto"/>
        <w:bottom w:val="none" w:sz="0" w:space="0" w:color="auto"/>
        <w:right w:val="none" w:sz="0" w:space="0" w:color="auto"/>
      </w:divBdr>
    </w:div>
    <w:div w:id="436559807">
      <w:bodyDiv w:val="1"/>
      <w:marLeft w:val="0"/>
      <w:marRight w:val="0"/>
      <w:marTop w:val="0"/>
      <w:marBottom w:val="0"/>
      <w:divBdr>
        <w:top w:val="none" w:sz="0" w:space="0" w:color="auto"/>
        <w:left w:val="none" w:sz="0" w:space="0" w:color="auto"/>
        <w:bottom w:val="none" w:sz="0" w:space="0" w:color="auto"/>
        <w:right w:val="none" w:sz="0" w:space="0" w:color="auto"/>
      </w:divBdr>
    </w:div>
    <w:div w:id="444353617">
      <w:bodyDiv w:val="1"/>
      <w:marLeft w:val="0"/>
      <w:marRight w:val="0"/>
      <w:marTop w:val="0"/>
      <w:marBottom w:val="0"/>
      <w:divBdr>
        <w:top w:val="none" w:sz="0" w:space="0" w:color="auto"/>
        <w:left w:val="none" w:sz="0" w:space="0" w:color="auto"/>
        <w:bottom w:val="none" w:sz="0" w:space="0" w:color="auto"/>
        <w:right w:val="none" w:sz="0" w:space="0" w:color="auto"/>
      </w:divBdr>
    </w:div>
    <w:div w:id="461078236">
      <w:bodyDiv w:val="1"/>
      <w:marLeft w:val="0"/>
      <w:marRight w:val="0"/>
      <w:marTop w:val="0"/>
      <w:marBottom w:val="0"/>
      <w:divBdr>
        <w:top w:val="none" w:sz="0" w:space="0" w:color="auto"/>
        <w:left w:val="none" w:sz="0" w:space="0" w:color="auto"/>
        <w:bottom w:val="none" w:sz="0" w:space="0" w:color="auto"/>
        <w:right w:val="none" w:sz="0" w:space="0" w:color="auto"/>
      </w:divBdr>
    </w:div>
    <w:div w:id="524832283">
      <w:bodyDiv w:val="1"/>
      <w:marLeft w:val="0"/>
      <w:marRight w:val="0"/>
      <w:marTop w:val="0"/>
      <w:marBottom w:val="0"/>
      <w:divBdr>
        <w:top w:val="none" w:sz="0" w:space="0" w:color="auto"/>
        <w:left w:val="none" w:sz="0" w:space="0" w:color="auto"/>
        <w:bottom w:val="none" w:sz="0" w:space="0" w:color="auto"/>
        <w:right w:val="none" w:sz="0" w:space="0" w:color="auto"/>
      </w:divBdr>
    </w:div>
    <w:div w:id="575483405">
      <w:bodyDiv w:val="1"/>
      <w:marLeft w:val="0"/>
      <w:marRight w:val="0"/>
      <w:marTop w:val="0"/>
      <w:marBottom w:val="0"/>
      <w:divBdr>
        <w:top w:val="none" w:sz="0" w:space="0" w:color="auto"/>
        <w:left w:val="none" w:sz="0" w:space="0" w:color="auto"/>
        <w:bottom w:val="none" w:sz="0" w:space="0" w:color="auto"/>
        <w:right w:val="none" w:sz="0" w:space="0" w:color="auto"/>
      </w:divBdr>
    </w:div>
    <w:div w:id="596788289">
      <w:bodyDiv w:val="1"/>
      <w:marLeft w:val="0"/>
      <w:marRight w:val="0"/>
      <w:marTop w:val="0"/>
      <w:marBottom w:val="0"/>
      <w:divBdr>
        <w:top w:val="none" w:sz="0" w:space="0" w:color="auto"/>
        <w:left w:val="none" w:sz="0" w:space="0" w:color="auto"/>
        <w:bottom w:val="none" w:sz="0" w:space="0" w:color="auto"/>
        <w:right w:val="none" w:sz="0" w:space="0" w:color="auto"/>
      </w:divBdr>
    </w:div>
    <w:div w:id="671298626">
      <w:bodyDiv w:val="1"/>
      <w:marLeft w:val="0"/>
      <w:marRight w:val="0"/>
      <w:marTop w:val="0"/>
      <w:marBottom w:val="0"/>
      <w:divBdr>
        <w:top w:val="none" w:sz="0" w:space="0" w:color="auto"/>
        <w:left w:val="none" w:sz="0" w:space="0" w:color="auto"/>
        <w:bottom w:val="none" w:sz="0" w:space="0" w:color="auto"/>
        <w:right w:val="none" w:sz="0" w:space="0" w:color="auto"/>
      </w:divBdr>
    </w:div>
    <w:div w:id="683287242">
      <w:bodyDiv w:val="1"/>
      <w:marLeft w:val="0"/>
      <w:marRight w:val="0"/>
      <w:marTop w:val="0"/>
      <w:marBottom w:val="0"/>
      <w:divBdr>
        <w:top w:val="none" w:sz="0" w:space="0" w:color="auto"/>
        <w:left w:val="none" w:sz="0" w:space="0" w:color="auto"/>
        <w:bottom w:val="none" w:sz="0" w:space="0" w:color="auto"/>
        <w:right w:val="none" w:sz="0" w:space="0" w:color="auto"/>
      </w:divBdr>
    </w:div>
    <w:div w:id="731464669">
      <w:bodyDiv w:val="1"/>
      <w:marLeft w:val="0"/>
      <w:marRight w:val="0"/>
      <w:marTop w:val="0"/>
      <w:marBottom w:val="0"/>
      <w:divBdr>
        <w:top w:val="none" w:sz="0" w:space="0" w:color="auto"/>
        <w:left w:val="none" w:sz="0" w:space="0" w:color="auto"/>
        <w:bottom w:val="none" w:sz="0" w:space="0" w:color="auto"/>
        <w:right w:val="none" w:sz="0" w:space="0" w:color="auto"/>
      </w:divBdr>
    </w:div>
    <w:div w:id="747850413">
      <w:bodyDiv w:val="1"/>
      <w:marLeft w:val="0"/>
      <w:marRight w:val="0"/>
      <w:marTop w:val="0"/>
      <w:marBottom w:val="0"/>
      <w:divBdr>
        <w:top w:val="none" w:sz="0" w:space="0" w:color="auto"/>
        <w:left w:val="none" w:sz="0" w:space="0" w:color="auto"/>
        <w:bottom w:val="none" w:sz="0" w:space="0" w:color="auto"/>
        <w:right w:val="none" w:sz="0" w:space="0" w:color="auto"/>
      </w:divBdr>
    </w:div>
    <w:div w:id="758329724">
      <w:bodyDiv w:val="1"/>
      <w:marLeft w:val="0"/>
      <w:marRight w:val="0"/>
      <w:marTop w:val="0"/>
      <w:marBottom w:val="0"/>
      <w:divBdr>
        <w:top w:val="none" w:sz="0" w:space="0" w:color="auto"/>
        <w:left w:val="none" w:sz="0" w:space="0" w:color="auto"/>
        <w:bottom w:val="none" w:sz="0" w:space="0" w:color="auto"/>
        <w:right w:val="none" w:sz="0" w:space="0" w:color="auto"/>
      </w:divBdr>
    </w:div>
    <w:div w:id="763107263">
      <w:bodyDiv w:val="1"/>
      <w:marLeft w:val="0"/>
      <w:marRight w:val="0"/>
      <w:marTop w:val="0"/>
      <w:marBottom w:val="0"/>
      <w:divBdr>
        <w:top w:val="none" w:sz="0" w:space="0" w:color="auto"/>
        <w:left w:val="none" w:sz="0" w:space="0" w:color="auto"/>
        <w:bottom w:val="none" w:sz="0" w:space="0" w:color="auto"/>
        <w:right w:val="none" w:sz="0" w:space="0" w:color="auto"/>
      </w:divBdr>
    </w:div>
    <w:div w:id="832140542">
      <w:bodyDiv w:val="1"/>
      <w:marLeft w:val="0"/>
      <w:marRight w:val="0"/>
      <w:marTop w:val="0"/>
      <w:marBottom w:val="0"/>
      <w:divBdr>
        <w:top w:val="none" w:sz="0" w:space="0" w:color="auto"/>
        <w:left w:val="none" w:sz="0" w:space="0" w:color="auto"/>
        <w:bottom w:val="none" w:sz="0" w:space="0" w:color="auto"/>
        <w:right w:val="none" w:sz="0" w:space="0" w:color="auto"/>
      </w:divBdr>
    </w:div>
    <w:div w:id="837043653">
      <w:bodyDiv w:val="1"/>
      <w:marLeft w:val="0"/>
      <w:marRight w:val="0"/>
      <w:marTop w:val="0"/>
      <w:marBottom w:val="0"/>
      <w:divBdr>
        <w:top w:val="none" w:sz="0" w:space="0" w:color="auto"/>
        <w:left w:val="none" w:sz="0" w:space="0" w:color="auto"/>
        <w:bottom w:val="none" w:sz="0" w:space="0" w:color="auto"/>
        <w:right w:val="none" w:sz="0" w:space="0" w:color="auto"/>
      </w:divBdr>
    </w:div>
    <w:div w:id="914752471">
      <w:bodyDiv w:val="1"/>
      <w:marLeft w:val="0"/>
      <w:marRight w:val="0"/>
      <w:marTop w:val="0"/>
      <w:marBottom w:val="0"/>
      <w:divBdr>
        <w:top w:val="none" w:sz="0" w:space="0" w:color="auto"/>
        <w:left w:val="none" w:sz="0" w:space="0" w:color="auto"/>
        <w:bottom w:val="none" w:sz="0" w:space="0" w:color="auto"/>
        <w:right w:val="none" w:sz="0" w:space="0" w:color="auto"/>
      </w:divBdr>
    </w:div>
    <w:div w:id="931551940">
      <w:bodyDiv w:val="1"/>
      <w:marLeft w:val="0"/>
      <w:marRight w:val="0"/>
      <w:marTop w:val="0"/>
      <w:marBottom w:val="0"/>
      <w:divBdr>
        <w:top w:val="none" w:sz="0" w:space="0" w:color="auto"/>
        <w:left w:val="none" w:sz="0" w:space="0" w:color="auto"/>
        <w:bottom w:val="none" w:sz="0" w:space="0" w:color="auto"/>
        <w:right w:val="none" w:sz="0" w:space="0" w:color="auto"/>
      </w:divBdr>
      <w:divsChild>
        <w:div w:id="935094441">
          <w:marLeft w:val="0"/>
          <w:marRight w:val="0"/>
          <w:marTop w:val="0"/>
          <w:marBottom w:val="0"/>
          <w:divBdr>
            <w:top w:val="none" w:sz="0" w:space="0" w:color="auto"/>
            <w:left w:val="none" w:sz="0" w:space="0" w:color="auto"/>
            <w:bottom w:val="none" w:sz="0" w:space="0" w:color="auto"/>
            <w:right w:val="none" w:sz="0" w:space="0" w:color="auto"/>
          </w:divBdr>
          <w:divsChild>
            <w:div w:id="701441001">
              <w:marLeft w:val="0"/>
              <w:marRight w:val="0"/>
              <w:marTop w:val="0"/>
              <w:marBottom w:val="0"/>
              <w:divBdr>
                <w:top w:val="none" w:sz="0" w:space="0" w:color="auto"/>
                <w:left w:val="none" w:sz="0" w:space="0" w:color="auto"/>
                <w:bottom w:val="none" w:sz="0" w:space="0" w:color="auto"/>
                <w:right w:val="none" w:sz="0" w:space="0" w:color="auto"/>
              </w:divBdr>
              <w:divsChild>
                <w:div w:id="624585133">
                  <w:marLeft w:val="0"/>
                  <w:marRight w:val="0"/>
                  <w:marTop w:val="0"/>
                  <w:marBottom w:val="0"/>
                  <w:divBdr>
                    <w:top w:val="none" w:sz="0" w:space="0" w:color="auto"/>
                    <w:left w:val="none" w:sz="0" w:space="0" w:color="auto"/>
                    <w:bottom w:val="none" w:sz="0" w:space="0" w:color="auto"/>
                    <w:right w:val="none" w:sz="0" w:space="0" w:color="auto"/>
                  </w:divBdr>
                  <w:divsChild>
                    <w:div w:id="1038703617">
                      <w:marLeft w:val="0"/>
                      <w:marRight w:val="0"/>
                      <w:marTop w:val="0"/>
                      <w:marBottom w:val="0"/>
                      <w:divBdr>
                        <w:top w:val="none" w:sz="0" w:space="0" w:color="auto"/>
                        <w:left w:val="none" w:sz="0" w:space="0" w:color="auto"/>
                        <w:bottom w:val="none" w:sz="0" w:space="0" w:color="auto"/>
                        <w:right w:val="none" w:sz="0" w:space="0" w:color="auto"/>
                      </w:divBdr>
                      <w:divsChild>
                        <w:div w:id="787313360">
                          <w:marLeft w:val="0"/>
                          <w:marRight w:val="0"/>
                          <w:marTop w:val="0"/>
                          <w:marBottom w:val="0"/>
                          <w:divBdr>
                            <w:top w:val="none" w:sz="0" w:space="0" w:color="auto"/>
                            <w:left w:val="none" w:sz="0" w:space="0" w:color="auto"/>
                            <w:bottom w:val="none" w:sz="0" w:space="0" w:color="auto"/>
                            <w:right w:val="none" w:sz="0" w:space="0" w:color="auto"/>
                          </w:divBdr>
                          <w:divsChild>
                            <w:div w:id="369039977">
                              <w:marLeft w:val="0"/>
                              <w:marRight w:val="0"/>
                              <w:marTop w:val="0"/>
                              <w:marBottom w:val="0"/>
                              <w:divBdr>
                                <w:top w:val="none" w:sz="0" w:space="0" w:color="auto"/>
                                <w:left w:val="none" w:sz="0" w:space="0" w:color="auto"/>
                                <w:bottom w:val="none" w:sz="0" w:space="0" w:color="auto"/>
                                <w:right w:val="none" w:sz="0" w:space="0" w:color="auto"/>
                              </w:divBdr>
                              <w:divsChild>
                                <w:div w:id="1938251500">
                                  <w:marLeft w:val="0"/>
                                  <w:marRight w:val="0"/>
                                  <w:marTop w:val="0"/>
                                  <w:marBottom w:val="0"/>
                                  <w:divBdr>
                                    <w:top w:val="none" w:sz="0" w:space="0" w:color="auto"/>
                                    <w:left w:val="none" w:sz="0" w:space="0" w:color="auto"/>
                                    <w:bottom w:val="none" w:sz="0" w:space="0" w:color="auto"/>
                                    <w:right w:val="none" w:sz="0" w:space="0" w:color="auto"/>
                                  </w:divBdr>
                                  <w:divsChild>
                                    <w:div w:id="23866179">
                                      <w:marLeft w:val="0"/>
                                      <w:marRight w:val="0"/>
                                      <w:marTop w:val="0"/>
                                      <w:marBottom w:val="0"/>
                                      <w:divBdr>
                                        <w:top w:val="none" w:sz="0" w:space="0" w:color="auto"/>
                                        <w:left w:val="none" w:sz="0" w:space="0" w:color="auto"/>
                                        <w:bottom w:val="none" w:sz="0" w:space="0" w:color="auto"/>
                                        <w:right w:val="none" w:sz="0" w:space="0" w:color="auto"/>
                                      </w:divBdr>
                                      <w:divsChild>
                                        <w:div w:id="1310355184">
                                          <w:marLeft w:val="0"/>
                                          <w:marRight w:val="0"/>
                                          <w:marTop w:val="0"/>
                                          <w:marBottom w:val="0"/>
                                          <w:divBdr>
                                            <w:top w:val="none" w:sz="0" w:space="0" w:color="auto"/>
                                            <w:left w:val="none" w:sz="0" w:space="0" w:color="auto"/>
                                            <w:bottom w:val="none" w:sz="0" w:space="0" w:color="auto"/>
                                            <w:right w:val="none" w:sz="0" w:space="0" w:color="auto"/>
                                          </w:divBdr>
                                        </w:div>
                                        <w:div w:id="2029673969">
                                          <w:marLeft w:val="0"/>
                                          <w:marRight w:val="0"/>
                                          <w:marTop w:val="0"/>
                                          <w:marBottom w:val="0"/>
                                          <w:divBdr>
                                            <w:top w:val="none" w:sz="0" w:space="0" w:color="auto"/>
                                            <w:left w:val="none" w:sz="0" w:space="0" w:color="auto"/>
                                            <w:bottom w:val="none" w:sz="0" w:space="0" w:color="auto"/>
                                            <w:right w:val="none" w:sz="0" w:space="0" w:color="auto"/>
                                          </w:divBdr>
                                          <w:divsChild>
                                            <w:div w:id="59752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2561">
                                      <w:marLeft w:val="0"/>
                                      <w:marRight w:val="0"/>
                                      <w:marTop w:val="0"/>
                                      <w:marBottom w:val="0"/>
                                      <w:divBdr>
                                        <w:top w:val="none" w:sz="0" w:space="0" w:color="auto"/>
                                        <w:left w:val="none" w:sz="0" w:space="0" w:color="auto"/>
                                        <w:bottom w:val="none" w:sz="0" w:space="0" w:color="auto"/>
                                        <w:right w:val="none" w:sz="0" w:space="0" w:color="auto"/>
                                      </w:divBdr>
                                    </w:div>
                                    <w:div w:id="946541928">
                                      <w:marLeft w:val="0"/>
                                      <w:marRight w:val="0"/>
                                      <w:marTop w:val="0"/>
                                      <w:marBottom w:val="0"/>
                                      <w:divBdr>
                                        <w:top w:val="none" w:sz="0" w:space="0" w:color="auto"/>
                                        <w:left w:val="none" w:sz="0" w:space="0" w:color="auto"/>
                                        <w:bottom w:val="none" w:sz="0" w:space="0" w:color="auto"/>
                                        <w:right w:val="none" w:sz="0" w:space="0" w:color="auto"/>
                                      </w:divBdr>
                                      <w:divsChild>
                                        <w:div w:id="970017652">
                                          <w:marLeft w:val="0"/>
                                          <w:marRight w:val="0"/>
                                          <w:marTop w:val="0"/>
                                          <w:marBottom w:val="0"/>
                                          <w:divBdr>
                                            <w:top w:val="none" w:sz="0" w:space="0" w:color="auto"/>
                                            <w:left w:val="none" w:sz="0" w:space="0" w:color="auto"/>
                                            <w:bottom w:val="none" w:sz="0" w:space="0" w:color="auto"/>
                                            <w:right w:val="none" w:sz="0" w:space="0" w:color="auto"/>
                                          </w:divBdr>
                                        </w:div>
                                      </w:divsChild>
                                    </w:div>
                                    <w:div w:id="1006320483">
                                      <w:marLeft w:val="0"/>
                                      <w:marRight w:val="0"/>
                                      <w:marTop w:val="0"/>
                                      <w:marBottom w:val="0"/>
                                      <w:divBdr>
                                        <w:top w:val="none" w:sz="0" w:space="0" w:color="auto"/>
                                        <w:left w:val="none" w:sz="0" w:space="0" w:color="auto"/>
                                        <w:bottom w:val="none" w:sz="0" w:space="0" w:color="auto"/>
                                        <w:right w:val="none" w:sz="0" w:space="0" w:color="auto"/>
                                      </w:divBdr>
                                    </w:div>
                                    <w:div w:id="1359547324">
                                      <w:marLeft w:val="0"/>
                                      <w:marRight w:val="0"/>
                                      <w:marTop w:val="0"/>
                                      <w:marBottom w:val="0"/>
                                      <w:divBdr>
                                        <w:top w:val="none" w:sz="0" w:space="0" w:color="auto"/>
                                        <w:left w:val="none" w:sz="0" w:space="0" w:color="auto"/>
                                        <w:bottom w:val="none" w:sz="0" w:space="0" w:color="auto"/>
                                        <w:right w:val="none" w:sz="0" w:space="0" w:color="auto"/>
                                      </w:divBdr>
                                    </w:div>
                                    <w:div w:id="13650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317458">
      <w:bodyDiv w:val="1"/>
      <w:marLeft w:val="0"/>
      <w:marRight w:val="0"/>
      <w:marTop w:val="0"/>
      <w:marBottom w:val="0"/>
      <w:divBdr>
        <w:top w:val="none" w:sz="0" w:space="0" w:color="auto"/>
        <w:left w:val="none" w:sz="0" w:space="0" w:color="auto"/>
        <w:bottom w:val="none" w:sz="0" w:space="0" w:color="auto"/>
        <w:right w:val="none" w:sz="0" w:space="0" w:color="auto"/>
      </w:divBdr>
    </w:div>
    <w:div w:id="973292895">
      <w:bodyDiv w:val="1"/>
      <w:marLeft w:val="0"/>
      <w:marRight w:val="0"/>
      <w:marTop w:val="0"/>
      <w:marBottom w:val="0"/>
      <w:divBdr>
        <w:top w:val="none" w:sz="0" w:space="0" w:color="auto"/>
        <w:left w:val="none" w:sz="0" w:space="0" w:color="auto"/>
        <w:bottom w:val="none" w:sz="0" w:space="0" w:color="auto"/>
        <w:right w:val="none" w:sz="0" w:space="0" w:color="auto"/>
      </w:divBdr>
    </w:div>
    <w:div w:id="1006862158">
      <w:bodyDiv w:val="1"/>
      <w:marLeft w:val="0"/>
      <w:marRight w:val="0"/>
      <w:marTop w:val="0"/>
      <w:marBottom w:val="0"/>
      <w:divBdr>
        <w:top w:val="none" w:sz="0" w:space="0" w:color="auto"/>
        <w:left w:val="none" w:sz="0" w:space="0" w:color="auto"/>
        <w:bottom w:val="none" w:sz="0" w:space="0" w:color="auto"/>
        <w:right w:val="none" w:sz="0" w:space="0" w:color="auto"/>
      </w:divBdr>
    </w:div>
    <w:div w:id="1027291430">
      <w:bodyDiv w:val="1"/>
      <w:marLeft w:val="0"/>
      <w:marRight w:val="0"/>
      <w:marTop w:val="0"/>
      <w:marBottom w:val="0"/>
      <w:divBdr>
        <w:top w:val="none" w:sz="0" w:space="0" w:color="auto"/>
        <w:left w:val="none" w:sz="0" w:space="0" w:color="auto"/>
        <w:bottom w:val="none" w:sz="0" w:space="0" w:color="auto"/>
        <w:right w:val="none" w:sz="0" w:space="0" w:color="auto"/>
      </w:divBdr>
    </w:div>
    <w:div w:id="1108088726">
      <w:bodyDiv w:val="1"/>
      <w:marLeft w:val="0"/>
      <w:marRight w:val="0"/>
      <w:marTop w:val="0"/>
      <w:marBottom w:val="0"/>
      <w:divBdr>
        <w:top w:val="none" w:sz="0" w:space="0" w:color="auto"/>
        <w:left w:val="none" w:sz="0" w:space="0" w:color="auto"/>
        <w:bottom w:val="none" w:sz="0" w:space="0" w:color="auto"/>
        <w:right w:val="none" w:sz="0" w:space="0" w:color="auto"/>
      </w:divBdr>
    </w:div>
    <w:div w:id="1138651027">
      <w:bodyDiv w:val="1"/>
      <w:marLeft w:val="0"/>
      <w:marRight w:val="0"/>
      <w:marTop w:val="0"/>
      <w:marBottom w:val="0"/>
      <w:divBdr>
        <w:top w:val="none" w:sz="0" w:space="0" w:color="auto"/>
        <w:left w:val="none" w:sz="0" w:space="0" w:color="auto"/>
        <w:bottom w:val="none" w:sz="0" w:space="0" w:color="auto"/>
        <w:right w:val="none" w:sz="0" w:space="0" w:color="auto"/>
      </w:divBdr>
    </w:div>
    <w:div w:id="1139683828">
      <w:bodyDiv w:val="1"/>
      <w:marLeft w:val="0"/>
      <w:marRight w:val="0"/>
      <w:marTop w:val="0"/>
      <w:marBottom w:val="0"/>
      <w:divBdr>
        <w:top w:val="none" w:sz="0" w:space="0" w:color="auto"/>
        <w:left w:val="none" w:sz="0" w:space="0" w:color="auto"/>
        <w:bottom w:val="none" w:sz="0" w:space="0" w:color="auto"/>
        <w:right w:val="none" w:sz="0" w:space="0" w:color="auto"/>
      </w:divBdr>
    </w:div>
    <w:div w:id="1177382052">
      <w:bodyDiv w:val="1"/>
      <w:marLeft w:val="0"/>
      <w:marRight w:val="0"/>
      <w:marTop w:val="0"/>
      <w:marBottom w:val="0"/>
      <w:divBdr>
        <w:top w:val="none" w:sz="0" w:space="0" w:color="auto"/>
        <w:left w:val="none" w:sz="0" w:space="0" w:color="auto"/>
        <w:bottom w:val="none" w:sz="0" w:space="0" w:color="auto"/>
        <w:right w:val="none" w:sz="0" w:space="0" w:color="auto"/>
      </w:divBdr>
      <w:divsChild>
        <w:div w:id="1774011272">
          <w:marLeft w:val="0"/>
          <w:marRight w:val="0"/>
          <w:marTop w:val="0"/>
          <w:marBottom w:val="0"/>
          <w:divBdr>
            <w:top w:val="none" w:sz="0" w:space="0" w:color="auto"/>
            <w:left w:val="none" w:sz="0" w:space="0" w:color="auto"/>
            <w:bottom w:val="none" w:sz="0" w:space="0" w:color="auto"/>
            <w:right w:val="none" w:sz="0" w:space="0" w:color="auto"/>
          </w:divBdr>
          <w:divsChild>
            <w:div w:id="1541622595">
              <w:marLeft w:val="0"/>
              <w:marRight w:val="0"/>
              <w:marTop w:val="0"/>
              <w:marBottom w:val="0"/>
              <w:divBdr>
                <w:top w:val="none" w:sz="0" w:space="0" w:color="auto"/>
                <w:left w:val="none" w:sz="0" w:space="0" w:color="auto"/>
                <w:bottom w:val="none" w:sz="0" w:space="0" w:color="auto"/>
                <w:right w:val="none" w:sz="0" w:space="0" w:color="auto"/>
              </w:divBdr>
              <w:divsChild>
                <w:div w:id="217860987">
                  <w:marLeft w:val="0"/>
                  <w:marRight w:val="0"/>
                  <w:marTop w:val="0"/>
                  <w:marBottom w:val="0"/>
                  <w:divBdr>
                    <w:top w:val="none" w:sz="0" w:space="0" w:color="auto"/>
                    <w:left w:val="none" w:sz="0" w:space="0" w:color="auto"/>
                    <w:bottom w:val="none" w:sz="0" w:space="0" w:color="auto"/>
                    <w:right w:val="none" w:sz="0" w:space="0" w:color="auto"/>
                  </w:divBdr>
                  <w:divsChild>
                    <w:div w:id="553741126">
                      <w:marLeft w:val="0"/>
                      <w:marRight w:val="0"/>
                      <w:marTop w:val="0"/>
                      <w:marBottom w:val="0"/>
                      <w:divBdr>
                        <w:top w:val="none" w:sz="0" w:space="0" w:color="auto"/>
                        <w:left w:val="none" w:sz="0" w:space="0" w:color="auto"/>
                        <w:bottom w:val="none" w:sz="0" w:space="0" w:color="auto"/>
                        <w:right w:val="none" w:sz="0" w:space="0" w:color="auto"/>
                      </w:divBdr>
                      <w:divsChild>
                        <w:div w:id="1833719505">
                          <w:marLeft w:val="0"/>
                          <w:marRight w:val="0"/>
                          <w:marTop w:val="0"/>
                          <w:marBottom w:val="0"/>
                          <w:divBdr>
                            <w:top w:val="none" w:sz="0" w:space="0" w:color="auto"/>
                            <w:left w:val="none" w:sz="0" w:space="0" w:color="auto"/>
                            <w:bottom w:val="none" w:sz="0" w:space="0" w:color="auto"/>
                            <w:right w:val="none" w:sz="0" w:space="0" w:color="auto"/>
                          </w:divBdr>
                          <w:divsChild>
                            <w:div w:id="1200363738">
                              <w:marLeft w:val="0"/>
                              <w:marRight w:val="0"/>
                              <w:marTop w:val="0"/>
                              <w:marBottom w:val="0"/>
                              <w:divBdr>
                                <w:top w:val="none" w:sz="0" w:space="0" w:color="auto"/>
                                <w:left w:val="none" w:sz="0" w:space="0" w:color="auto"/>
                                <w:bottom w:val="none" w:sz="0" w:space="0" w:color="auto"/>
                                <w:right w:val="none" w:sz="0" w:space="0" w:color="auto"/>
                              </w:divBdr>
                              <w:divsChild>
                                <w:div w:id="1840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336654">
      <w:bodyDiv w:val="1"/>
      <w:marLeft w:val="0"/>
      <w:marRight w:val="0"/>
      <w:marTop w:val="0"/>
      <w:marBottom w:val="0"/>
      <w:divBdr>
        <w:top w:val="none" w:sz="0" w:space="0" w:color="auto"/>
        <w:left w:val="none" w:sz="0" w:space="0" w:color="auto"/>
        <w:bottom w:val="none" w:sz="0" w:space="0" w:color="auto"/>
        <w:right w:val="none" w:sz="0" w:space="0" w:color="auto"/>
      </w:divBdr>
    </w:div>
    <w:div w:id="1286232915">
      <w:bodyDiv w:val="1"/>
      <w:marLeft w:val="0"/>
      <w:marRight w:val="0"/>
      <w:marTop w:val="0"/>
      <w:marBottom w:val="0"/>
      <w:divBdr>
        <w:top w:val="none" w:sz="0" w:space="0" w:color="auto"/>
        <w:left w:val="none" w:sz="0" w:space="0" w:color="auto"/>
        <w:bottom w:val="none" w:sz="0" w:space="0" w:color="auto"/>
        <w:right w:val="none" w:sz="0" w:space="0" w:color="auto"/>
      </w:divBdr>
    </w:div>
    <w:div w:id="1299721119">
      <w:bodyDiv w:val="1"/>
      <w:marLeft w:val="0"/>
      <w:marRight w:val="0"/>
      <w:marTop w:val="0"/>
      <w:marBottom w:val="0"/>
      <w:divBdr>
        <w:top w:val="none" w:sz="0" w:space="0" w:color="auto"/>
        <w:left w:val="none" w:sz="0" w:space="0" w:color="auto"/>
        <w:bottom w:val="none" w:sz="0" w:space="0" w:color="auto"/>
        <w:right w:val="none" w:sz="0" w:space="0" w:color="auto"/>
      </w:divBdr>
    </w:div>
    <w:div w:id="1350332154">
      <w:bodyDiv w:val="1"/>
      <w:marLeft w:val="0"/>
      <w:marRight w:val="0"/>
      <w:marTop w:val="0"/>
      <w:marBottom w:val="0"/>
      <w:divBdr>
        <w:top w:val="none" w:sz="0" w:space="0" w:color="auto"/>
        <w:left w:val="none" w:sz="0" w:space="0" w:color="auto"/>
        <w:bottom w:val="none" w:sz="0" w:space="0" w:color="auto"/>
        <w:right w:val="none" w:sz="0" w:space="0" w:color="auto"/>
      </w:divBdr>
    </w:div>
    <w:div w:id="1359505148">
      <w:bodyDiv w:val="1"/>
      <w:marLeft w:val="0"/>
      <w:marRight w:val="0"/>
      <w:marTop w:val="0"/>
      <w:marBottom w:val="0"/>
      <w:divBdr>
        <w:top w:val="none" w:sz="0" w:space="0" w:color="auto"/>
        <w:left w:val="none" w:sz="0" w:space="0" w:color="auto"/>
        <w:bottom w:val="none" w:sz="0" w:space="0" w:color="auto"/>
        <w:right w:val="none" w:sz="0" w:space="0" w:color="auto"/>
      </w:divBdr>
    </w:div>
    <w:div w:id="1484275987">
      <w:bodyDiv w:val="1"/>
      <w:marLeft w:val="0"/>
      <w:marRight w:val="0"/>
      <w:marTop w:val="0"/>
      <w:marBottom w:val="0"/>
      <w:divBdr>
        <w:top w:val="none" w:sz="0" w:space="0" w:color="auto"/>
        <w:left w:val="none" w:sz="0" w:space="0" w:color="auto"/>
        <w:bottom w:val="none" w:sz="0" w:space="0" w:color="auto"/>
        <w:right w:val="none" w:sz="0" w:space="0" w:color="auto"/>
      </w:divBdr>
    </w:div>
    <w:div w:id="1509907530">
      <w:bodyDiv w:val="1"/>
      <w:marLeft w:val="0"/>
      <w:marRight w:val="0"/>
      <w:marTop w:val="0"/>
      <w:marBottom w:val="0"/>
      <w:divBdr>
        <w:top w:val="none" w:sz="0" w:space="0" w:color="auto"/>
        <w:left w:val="none" w:sz="0" w:space="0" w:color="auto"/>
        <w:bottom w:val="none" w:sz="0" w:space="0" w:color="auto"/>
        <w:right w:val="none" w:sz="0" w:space="0" w:color="auto"/>
      </w:divBdr>
    </w:div>
    <w:div w:id="1511725323">
      <w:bodyDiv w:val="1"/>
      <w:marLeft w:val="0"/>
      <w:marRight w:val="0"/>
      <w:marTop w:val="0"/>
      <w:marBottom w:val="0"/>
      <w:divBdr>
        <w:top w:val="none" w:sz="0" w:space="0" w:color="auto"/>
        <w:left w:val="none" w:sz="0" w:space="0" w:color="auto"/>
        <w:bottom w:val="none" w:sz="0" w:space="0" w:color="auto"/>
        <w:right w:val="none" w:sz="0" w:space="0" w:color="auto"/>
      </w:divBdr>
    </w:div>
    <w:div w:id="1511871290">
      <w:bodyDiv w:val="1"/>
      <w:marLeft w:val="0"/>
      <w:marRight w:val="0"/>
      <w:marTop w:val="0"/>
      <w:marBottom w:val="0"/>
      <w:divBdr>
        <w:top w:val="none" w:sz="0" w:space="0" w:color="auto"/>
        <w:left w:val="none" w:sz="0" w:space="0" w:color="auto"/>
        <w:bottom w:val="none" w:sz="0" w:space="0" w:color="auto"/>
        <w:right w:val="none" w:sz="0" w:space="0" w:color="auto"/>
      </w:divBdr>
      <w:divsChild>
        <w:div w:id="956445759">
          <w:marLeft w:val="0"/>
          <w:marRight w:val="0"/>
          <w:marTop w:val="0"/>
          <w:marBottom w:val="0"/>
          <w:divBdr>
            <w:top w:val="none" w:sz="0" w:space="0" w:color="auto"/>
            <w:left w:val="none" w:sz="0" w:space="0" w:color="auto"/>
            <w:bottom w:val="none" w:sz="0" w:space="0" w:color="auto"/>
            <w:right w:val="none" w:sz="0" w:space="0" w:color="auto"/>
          </w:divBdr>
          <w:divsChild>
            <w:div w:id="558247097">
              <w:marLeft w:val="0"/>
              <w:marRight w:val="0"/>
              <w:marTop w:val="0"/>
              <w:marBottom w:val="0"/>
              <w:divBdr>
                <w:top w:val="none" w:sz="0" w:space="0" w:color="E1E1E1"/>
                <w:left w:val="none" w:sz="0" w:space="0" w:color="E1E1E1"/>
                <w:bottom w:val="none" w:sz="0" w:space="0" w:color="E1E1E1"/>
                <w:right w:val="none" w:sz="0" w:space="0" w:color="E1E1E1"/>
              </w:divBdr>
              <w:divsChild>
                <w:div w:id="854609262">
                  <w:marLeft w:val="0"/>
                  <w:marRight w:val="0"/>
                  <w:marTop w:val="0"/>
                  <w:marBottom w:val="0"/>
                  <w:divBdr>
                    <w:top w:val="none" w:sz="0" w:space="0" w:color="auto"/>
                    <w:left w:val="none" w:sz="0" w:space="0" w:color="auto"/>
                    <w:bottom w:val="none" w:sz="0" w:space="0" w:color="auto"/>
                    <w:right w:val="none" w:sz="0" w:space="0" w:color="auto"/>
                  </w:divBdr>
                  <w:divsChild>
                    <w:div w:id="1118180008">
                      <w:marLeft w:val="0"/>
                      <w:marRight w:val="0"/>
                      <w:marTop w:val="0"/>
                      <w:marBottom w:val="0"/>
                      <w:divBdr>
                        <w:top w:val="none" w:sz="0" w:space="0" w:color="auto"/>
                        <w:left w:val="none" w:sz="0" w:space="0" w:color="auto"/>
                        <w:bottom w:val="none" w:sz="0" w:space="0" w:color="auto"/>
                        <w:right w:val="none" w:sz="0" w:space="0" w:color="auto"/>
                      </w:divBdr>
                      <w:divsChild>
                        <w:div w:id="1870797871">
                          <w:marLeft w:val="0"/>
                          <w:marRight w:val="0"/>
                          <w:marTop w:val="0"/>
                          <w:marBottom w:val="0"/>
                          <w:divBdr>
                            <w:top w:val="none" w:sz="0" w:space="0" w:color="auto"/>
                            <w:left w:val="none" w:sz="0" w:space="0" w:color="auto"/>
                            <w:bottom w:val="none" w:sz="0" w:space="0" w:color="auto"/>
                            <w:right w:val="none" w:sz="0" w:space="0" w:color="auto"/>
                          </w:divBdr>
                          <w:divsChild>
                            <w:div w:id="1872569226">
                              <w:marLeft w:val="0"/>
                              <w:marRight w:val="0"/>
                              <w:marTop w:val="0"/>
                              <w:marBottom w:val="0"/>
                              <w:divBdr>
                                <w:top w:val="none" w:sz="0" w:space="0" w:color="auto"/>
                                <w:left w:val="none" w:sz="0" w:space="0" w:color="auto"/>
                                <w:bottom w:val="none" w:sz="0" w:space="0" w:color="auto"/>
                                <w:right w:val="none" w:sz="0" w:space="0" w:color="auto"/>
                              </w:divBdr>
                              <w:divsChild>
                                <w:div w:id="443814479">
                                  <w:marLeft w:val="0"/>
                                  <w:marRight w:val="0"/>
                                  <w:marTop w:val="0"/>
                                  <w:marBottom w:val="0"/>
                                  <w:divBdr>
                                    <w:top w:val="none" w:sz="0" w:space="0" w:color="auto"/>
                                    <w:left w:val="none" w:sz="0" w:space="0" w:color="auto"/>
                                    <w:bottom w:val="none" w:sz="0" w:space="0" w:color="auto"/>
                                    <w:right w:val="none" w:sz="0" w:space="0" w:color="auto"/>
                                  </w:divBdr>
                                  <w:divsChild>
                                    <w:div w:id="1593705793">
                                      <w:marLeft w:val="0"/>
                                      <w:marRight w:val="0"/>
                                      <w:marTop w:val="0"/>
                                      <w:marBottom w:val="0"/>
                                      <w:divBdr>
                                        <w:top w:val="none" w:sz="0" w:space="0" w:color="auto"/>
                                        <w:left w:val="none" w:sz="0" w:space="0" w:color="auto"/>
                                        <w:bottom w:val="none" w:sz="0" w:space="0" w:color="auto"/>
                                        <w:right w:val="none" w:sz="0" w:space="0" w:color="auto"/>
                                      </w:divBdr>
                                      <w:divsChild>
                                        <w:div w:id="73920829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967662">
      <w:bodyDiv w:val="1"/>
      <w:marLeft w:val="0"/>
      <w:marRight w:val="0"/>
      <w:marTop w:val="0"/>
      <w:marBottom w:val="0"/>
      <w:divBdr>
        <w:top w:val="none" w:sz="0" w:space="0" w:color="auto"/>
        <w:left w:val="none" w:sz="0" w:space="0" w:color="auto"/>
        <w:bottom w:val="none" w:sz="0" w:space="0" w:color="auto"/>
        <w:right w:val="none" w:sz="0" w:space="0" w:color="auto"/>
      </w:divBdr>
    </w:div>
    <w:div w:id="1524594412">
      <w:bodyDiv w:val="1"/>
      <w:marLeft w:val="0"/>
      <w:marRight w:val="0"/>
      <w:marTop w:val="0"/>
      <w:marBottom w:val="0"/>
      <w:divBdr>
        <w:top w:val="none" w:sz="0" w:space="0" w:color="auto"/>
        <w:left w:val="none" w:sz="0" w:space="0" w:color="auto"/>
        <w:bottom w:val="none" w:sz="0" w:space="0" w:color="auto"/>
        <w:right w:val="none" w:sz="0" w:space="0" w:color="auto"/>
      </w:divBdr>
    </w:div>
    <w:div w:id="1542743038">
      <w:bodyDiv w:val="1"/>
      <w:marLeft w:val="0"/>
      <w:marRight w:val="0"/>
      <w:marTop w:val="0"/>
      <w:marBottom w:val="0"/>
      <w:divBdr>
        <w:top w:val="none" w:sz="0" w:space="0" w:color="auto"/>
        <w:left w:val="none" w:sz="0" w:space="0" w:color="auto"/>
        <w:bottom w:val="none" w:sz="0" w:space="0" w:color="auto"/>
        <w:right w:val="none" w:sz="0" w:space="0" w:color="auto"/>
      </w:divBdr>
    </w:div>
    <w:div w:id="1609968148">
      <w:bodyDiv w:val="1"/>
      <w:marLeft w:val="0"/>
      <w:marRight w:val="0"/>
      <w:marTop w:val="0"/>
      <w:marBottom w:val="0"/>
      <w:divBdr>
        <w:top w:val="none" w:sz="0" w:space="0" w:color="auto"/>
        <w:left w:val="none" w:sz="0" w:space="0" w:color="auto"/>
        <w:bottom w:val="none" w:sz="0" w:space="0" w:color="auto"/>
        <w:right w:val="none" w:sz="0" w:space="0" w:color="auto"/>
      </w:divBdr>
    </w:div>
    <w:div w:id="1631937546">
      <w:bodyDiv w:val="1"/>
      <w:marLeft w:val="0"/>
      <w:marRight w:val="0"/>
      <w:marTop w:val="0"/>
      <w:marBottom w:val="0"/>
      <w:divBdr>
        <w:top w:val="none" w:sz="0" w:space="0" w:color="auto"/>
        <w:left w:val="none" w:sz="0" w:space="0" w:color="auto"/>
        <w:bottom w:val="none" w:sz="0" w:space="0" w:color="auto"/>
        <w:right w:val="none" w:sz="0" w:space="0" w:color="auto"/>
      </w:divBdr>
    </w:div>
    <w:div w:id="1636374834">
      <w:bodyDiv w:val="1"/>
      <w:marLeft w:val="0"/>
      <w:marRight w:val="0"/>
      <w:marTop w:val="0"/>
      <w:marBottom w:val="0"/>
      <w:divBdr>
        <w:top w:val="none" w:sz="0" w:space="0" w:color="auto"/>
        <w:left w:val="none" w:sz="0" w:space="0" w:color="auto"/>
        <w:bottom w:val="none" w:sz="0" w:space="0" w:color="auto"/>
        <w:right w:val="none" w:sz="0" w:space="0" w:color="auto"/>
      </w:divBdr>
    </w:div>
    <w:div w:id="1655252781">
      <w:bodyDiv w:val="1"/>
      <w:marLeft w:val="0"/>
      <w:marRight w:val="0"/>
      <w:marTop w:val="0"/>
      <w:marBottom w:val="0"/>
      <w:divBdr>
        <w:top w:val="none" w:sz="0" w:space="0" w:color="auto"/>
        <w:left w:val="none" w:sz="0" w:space="0" w:color="auto"/>
        <w:bottom w:val="none" w:sz="0" w:space="0" w:color="auto"/>
        <w:right w:val="none" w:sz="0" w:space="0" w:color="auto"/>
      </w:divBdr>
    </w:div>
    <w:div w:id="1672098875">
      <w:bodyDiv w:val="1"/>
      <w:marLeft w:val="0"/>
      <w:marRight w:val="0"/>
      <w:marTop w:val="0"/>
      <w:marBottom w:val="0"/>
      <w:divBdr>
        <w:top w:val="none" w:sz="0" w:space="0" w:color="auto"/>
        <w:left w:val="none" w:sz="0" w:space="0" w:color="auto"/>
        <w:bottom w:val="none" w:sz="0" w:space="0" w:color="auto"/>
        <w:right w:val="none" w:sz="0" w:space="0" w:color="auto"/>
      </w:divBdr>
      <w:divsChild>
        <w:div w:id="22402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777915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62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958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93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353807">
      <w:bodyDiv w:val="1"/>
      <w:marLeft w:val="0"/>
      <w:marRight w:val="0"/>
      <w:marTop w:val="0"/>
      <w:marBottom w:val="0"/>
      <w:divBdr>
        <w:top w:val="none" w:sz="0" w:space="0" w:color="auto"/>
        <w:left w:val="none" w:sz="0" w:space="0" w:color="auto"/>
        <w:bottom w:val="none" w:sz="0" w:space="0" w:color="auto"/>
        <w:right w:val="none" w:sz="0" w:space="0" w:color="auto"/>
      </w:divBdr>
    </w:div>
    <w:div w:id="1762918957">
      <w:bodyDiv w:val="1"/>
      <w:marLeft w:val="0"/>
      <w:marRight w:val="0"/>
      <w:marTop w:val="0"/>
      <w:marBottom w:val="0"/>
      <w:divBdr>
        <w:top w:val="none" w:sz="0" w:space="0" w:color="auto"/>
        <w:left w:val="none" w:sz="0" w:space="0" w:color="auto"/>
        <w:bottom w:val="none" w:sz="0" w:space="0" w:color="auto"/>
        <w:right w:val="none" w:sz="0" w:space="0" w:color="auto"/>
      </w:divBdr>
    </w:div>
    <w:div w:id="1785273212">
      <w:bodyDiv w:val="1"/>
      <w:marLeft w:val="0"/>
      <w:marRight w:val="0"/>
      <w:marTop w:val="0"/>
      <w:marBottom w:val="0"/>
      <w:divBdr>
        <w:top w:val="none" w:sz="0" w:space="0" w:color="auto"/>
        <w:left w:val="none" w:sz="0" w:space="0" w:color="auto"/>
        <w:bottom w:val="none" w:sz="0" w:space="0" w:color="auto"/>
        <w:right w:val="none" w:sz="0" w:space="0" w:color="auto"/>
      </w:divBdr>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42232703">
      <w:bodyDiv w:val="1"/>
      <w:marLeft w:val="0"/>
      <w:marRight w:val="0"/>
      <w:marTop w:val="0"/>
      <w:marBottom w:val="0"/>
      <w:divBdr>
        <w:top w:val="none" w:sz="0" w:space="0" w:color="auto"/>
        <w:left w:val="none" w:sz="0" w:space="0" w:color="auto"/>
        <w:bottom w:val="none" w:sz="0" w:space="0" w:color="auto"/>
        <w:right w:val="none" w:sz="0" w:space="0" w:color="auto"/>
      </w:divBdr>
    </w:div>
    <w:div w:id="1848448509">
      <w:bodyDiv w:val="1"/>
      <w:marLeft w:val="0"/>
      <w:marRight w:val="0"/>
      <w:marTop w:val="0"/>
      <w:marBottom w:val="0"/>
      <w:divBdr>
        <w:top w:val="none" w:sz="0" w:space="0" w:color="auto"/>
        <w:left w:val="none" w:sz="0" w:space="0" w:color="auto"/>
        <w:bottom w:val="none" w:sz="0" w:space="0" w:color="auto"/>
        <w:right w:val="none" w:sz="0" w:space="0" w:color="auto"/>
      </w:divBdr>
    </w:div>
    <w:div w:id="1852986783">
      <w:bodyDiv w:val="1"/>
      <w:marLeft w:val="0"/>
      <w:marRight w:val="0"/>
      <w:marTop w:val="0"/>
      <w:marBottom w:val="0"/>
      <w:divBdr>
        <w:top w:val="none" w:sz="0" w:space="0" w:color="auto"/>
        <w:left w:val="none" w:sz="0" w:space="0" w:color="auto"/>
        <w:bottom w:val="none" w:sz="0" w:space="0" w:color="auto"/>
        <w:right w:val="none" w:sz="0" w:space="0" w:color="auto"/>
      </w:divBdr>
    </w:div>
    <w:div w:id="1904557101">
      <w:bodyDiv w:val="1"/>
      <w:marLeft w:val="0"/>
      <w:marRight w:val="0"/>
      <w:marTop w:val="0"/>
      <w:marBottom w:val="0"/>
      <w:divBdr>
        <w:top w:val="none" w:sz="0" w:space="0" w:color="auto"/>
        <w:left w:val="none" w:sz="0" w:space="0" w:color="auto"/>
        <w:bottom w:val="none" w:sz="0" w:space="0" w:color="auto"/>
        <w:right w:val="none" w:sz="0" w:space="0" w:color="auto"/>
      </w:divBdr>
    </w:div>
    <w:div w:id="2016766229">
      <w:bodyDiv w:val="1"/>
      <w:marLeft w:val="0"/>
      <w:marRight w:val="0"/>
      <w:marTop w:val="0"/>
      <w:marBottom w:val="0"/>
      <w:divBdr>
        <w:top w:val="none" w:sz="0" w:space="0" w:color="auto"/>
        <w:left w:val="none" w:sz="0" w:space="0" w:color="auto"/>
        <w:bottom w:val="none" w:sz="0" w:space="0" w:color="auto"/>
        <w:right w:val="none" w:sz="0" w:space="0" w:color="auto"/>
      </w:divBdr>
    </w:div>
    <w:div w:id="2023778002">
      <w:bodyDiv w:val="1"/>
      <w:marLeft w:val="0"/>
      <w:marRight w:val="0"/>
      <w:marTop w:val="0"/>
      <w:marBottom w:val="0"/>
      <w:divBdr>
        <w:top w:val="none" w:sz="0" w:space="0" w:color="auto"/>
        <w:left w:val="none" w:sz="0" w:space="0" w:color="auto"/>
        <w:bottom w:val="none" w:sz="0" w:space="0" w:color="auto"/>
        <w:right w:val="none" w:sz="0" w:space="0" w:color="auto"/>
      </w:divBdr>
    </w:div>
    <w:div w:id="2060978180">
      <w:bodyDiv w:val="1"/>
      <w:marLeft w:val="0"/>
      <w:marRight w:val="0"/>
      <w:marTop w:val="0"/>
      <w:marBottom w:val="0"/>
      <w:divBdr>
        <w:top w:val="none" w:sz="0" w:space="0" w:color="auto"/>
        <w:left w:val="none" w:sz="0" w:space="0" w:color="auto"/>
        <w:bottom w:val="none" w:sz="0" w:space="0" w:color="auto"/>
        <w:right w:val="none" w:sz="0" w:space="0" w:color="auto"/>
      </w:divBdr>
    </w:div>
    <w:div w:id="21364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26A92376CF184984C25819B489F6C1" ma:contentTypeVersion="12" ma:contentTypeDescription="Creați un document nou." ma:contentTypeScope="" ma:versionID="ed46762a8d19169af3eb7a2ab19a892e">
  <xsd:schema xmlns:xsd="http://www.w3.org/2001/XMLSchema" xmlns:xs="http://www.w3.org/2001/XMLSchema" xmlns:p="http://schemas.microsoft.com/office/2006/metadata/properties" xmlns:ns3="5316e3a6-dffd-4273-8c04-32ef279d7289" xmlns:ns4="bbbed276-7908-4356-9195-b974dab101d4" targetNamespace="http://schemas.microsoft.com/office/2006/metadata/properties" ma:root="true" ma:fieldsID="5f440201f823cc3b75b83b80b8a79c82" ns3:_="" ns4:_="">
    <xsd:import namespace="5316e3a6-dffd-4273-8c04-32ef279d7289"/>
    <xsd:import namespace="bbbed276-7908-4356-9195-b974dab101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6e3a6-dffd-4273-8c04-32ef279d7289"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ed276-7908-4356-9195-b974dab101d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D4621-87F3-40F9-8D45-351B52FF0B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08E237-AC5B-42B0-92F7-CDC80C63E742}">
  <ds:schemaRefs>
    <ds:schemaRef ds:uri="http://schemas.openxmlformats.org/officeDocument/2006/bibliography"/>
  </ds:schemaRefs>
</ds:datastoreItem>
</file>

<file path=customXml/itemProps3.xml><?xml version="1.0" encoding="utf-8"?>
<ds:datastoreItem xmlns:ds="http://schemas.openxmlformats.org/officeDocument/2006/customXml" ds:itemID="{D14B961A-E162-4F6F-890F-4AAFECCE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6e3a6-dffd-4273-8c04-32ef279d7289"/>
    <ds:schemaRef ds:uri="bbbed276-7908-4356-9195-b974dab10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01D5F-A69A-4739-B0B4-B32BDBBA7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8851</Words>
  <Characters>50451</Characters>
  <Application>Microsoft Office Word</Application>
  <DocSecurity>0</DocSecurity>
  <Lines>420</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dorina.vicol</dc:creator>
  <cp:keywords/>
  <cp:lastModifiedBy>Ioana Popescu</cp:lastModifiedBy>
  <cp:revision>15</cp:revision>
  <cp:lastPrinted>2026-04-21T10:41:00Z</cp:lastPrinted>
  <dcterms:created xsi:type="dcterms:W3CDTF">2026-04-21T09:47:00Z</dcterms:created>
  <dcterms:modified xsi:type="dcterms:W3CDTF">2026-04-21T13:09:00Z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0x0101007326A92376CF184984C25819B489F6C1</vt:lpwstr>
  </property>
</Properties>
</file>